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before="240" w:after="120"/>
        <w:rPr>
          <w:lang w:val="lt-LT"/>
        </w:rPr>
      </w:pPr>
      <w:r>
        <w:rPr>
          <w:lang w:val="lt-LT"/>
        </w:rPr>
        <w:t xml:space="preserve">Transporto priemonės </w:t>
        <w:br/>
        <w:t>„VW Transporter“ perdirbimo keičiant variklį techninės sąlygos</w:t>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start"/>
        <w:rPr>
          <w:lang w:val="lt-LT"/>
        </w:rPr>
      </w:pPr>
      <w:r>
        <w:rPr>
          <w:lang w:val="lt-LT"/>
        </w:rPr>
      </w:r>
    </w:p>
    <w:p>
      <w:pPr>
        <w:pStyle w:val="Normal"/>
        <w:bidi w:val="0"/>
        <w:jc w:val="center"/>
        <w:rPr>
          <w:lang w:val="lt-LT"/>
        </w:rPr>
      </w:pPr>
      <w:r>
        <w:rPr>
          <w:lang w:val="lt-LT"/>
        </w:rPr>
      </w:r>
    </w:p>
    <w:p>
      <w:pPr>
        <w:pStyle w:val="Normal"/>
        <w:bidi w:val="0"/>
        <w:jc w:val="center"/>
        <w:rPr>
          <w:lang w:val="lt-LT"/>
        </w:rPr>
      </w:pPr>
      <w:r>
        <w:rPr>
          <w:lang w:val="lt-LT"/>
        </w:rPr>
      </w:r>
    </w:p>
    <w:p>
      <w:pPr>
        <w:pStyle w:val="Normal"/>
        <w:bidi w:val="0"/>
        <w:jc w:val="center"/>
        <w:rPr>
          <w:lang w:val="lt-LT"/>
        </w:rPr>
      </w:pPr>
      <w:r>
        <w:rPr>
          <w:lang w:val="lt-LT"/>
        </w:rPr>
      </w:r>
    </w:p>
    <w:p>
      <w:pPr>
        <w:pStyle w:val="Normal"/>
        <w:bidi w:val="0"/>
        <w:jc w:val="center"/>
        <w:rPr>
          <w:lang w:val="lt-LT"/>
        </w:rPr>
      </w:pPr>
      <w:r>
        <w:rPr>
          <w:lang w:val="lt-LT"/>
        </w:rPr>
      </w:r>
    </w:p>
    <w:p>
      <w:pPr>
        <w:pStyle w:val="Normal"/>
        <w:bidi w:val="0"/>
        <w:jc w:val="center"/>
        <w:rPr>
          <w:lang w:val="lt-LT"/>
        </w:rPr>
      </w:pPr>
      <w:r>
        <w:rPr>
          <w:lang w:val="lt-LT"/>
        </w:rPr>
      </w:r>
    </w:p>
    <w:p>
      <w:pPr>
        <w:pStyle w:val="Normal"/>
        <w:bidi w:val="0"/>
        <w:jc w:val="center"/>
        <w:rPr>
          <w:lang w:val="lt-LT"/>
        </w:rPr>
      </w:pPr>
      <w:r>
        <w:rPr>
          <w:lang w:val="lt-LT"/>
        </w:rPr>
      </w:r>
    </w:p>
    <w:p>
      <w:pPr>
        <w:pStyle w:val="Normal"/>
        <w:bidi w:val="0"/>
        <w:jc w:val="center"/>
        <w:rPr>
          <w:lang w:val="lt-LT"/>
        </w:rPr>
      </w:pPr>
      <w:r>
        <w:rPr>
          <w:lang w:val="lt-LT"/>
        </w:rPr>
      </w:r>
    </w:p>
    <w:p>
      <w:pPr>
        <w:pStyle w:val="Normal"/>
        <w:bidi w:val="0"/>
        <w:spacing w:before="0" w:after="0"/>
        <w:jc w:val="center"/>
        <w:rPr>
          <w:lang w:val="lt-LT"/>
        </w:rPr>
      </w:pPr>
      <w:r>
        <w:rPr>
          <w:lang w:val="lt-LT"/>
        </w:rPr>
        <w:t>Vilnius 2025</w:t>
      </w:r>
    </w:p>
    <w:p>
      <w:pPr>
        <w:sectPr>
          <w:type w:val="nextPage"/>
          <w:pgSz w:w="11906" w:h="16838"/>
          <w:pgMar w:left="1134" w:right="1134" w:gutter="0" w:header="0" w:top="1134" w:footer="0" w:bottom="1134"/>
          <w:pgNumType w:fmt="decimal"/>
          <w:formProt w:val="false"/>
          <w:textDirection w:val="lrTb"/>
          <w:docGrid w:type="default" w:linePitch="100" w:charSpace="0"/>
        </w:sectPr>
      </w:pPr>
    </w:p>
    <w:sdt>
      <w:sdtPr>
        <w:docPartObj>
          <w:docPartGallery w:val="Table of Contents"/>
          <w:docPartUnique w:val="true"/>
        </w:docPartObj>
      </w:sdtPr>
      <w:sdtContent>
        <w:p>
          <w:pPr>
            <w:pStyle w:val="TOCHeading"/>
            <w:rPr/>
          </w:pPr>
          <w:r>
            <w:rPr/>
            <w:t>TURINYS</w:t>
          </w:r>
        </w:p>
        <w:p>
          <w:pPr>
            <w:pStyle w:val="TOC1"/>
            <w:tabs>
              <w:tab w:val="clear" w:pos="9638"/>
              <w:tab w:val="left" w:pos="850" w:leader="none"/>
              <w:tab w:val="right" w:pos="9637" w:leader="dot"/>
            </w:tabs>
            <w:rPr/>
          </w:pPr>
          <w:r>
            <w:fldChar w:fldCharType="begin"/>
          </w:r>
          <w:r>
            <w:rPr>
              <w:rStyle w:val="IndexLink"/>
            </w:rPr>
            <w:instrText xml:space="preserve"> TOC \o "1-9" \h</w:instrText>
          </w:r>
          <w:r>
            <w:rPr>
              <w:rStyle w:val="IndexLink"/>
            </w:rPr>
            <w:fldChar w:fldCharType="separate"/>
          </w:r>
          <w:hyperlink w:anchor="__RefHeading___Toc625_3585910784" w:tooltip="Transporto priemonės duomenys prieš perdirbimą">
            <w:r>
              <w:rPr>
                <w:rStyle w:val="IndexLink"/>
              </w:rPr>
              <w:t>1.</w:t>
              <w:tab/>
              <w:t>Transporto priemonės duomenys prieš perdirbimą</w:t>
              <w:tab/>
              <w:t>1</w:t>
            </w:r>
          </w:hyperlink>
        </w:p>
        <w:p>
          <w:pPr>
            <w:pStyle w:val="TOC1"/>
            <w:tabs>
              <w:tab w:val="clear" w:pos="9638"/>
              <w:tab w:val="left" w:pos="850" w:leader="none"/>
              <w:tab w:val="right" w:pos="9637" w:leader="dot"/>
            </w:tabs>
            <w:rPr/>
          </w:pPr>
          <w:hyperlink w:anchor="__RefHeading___Toc627_3585910784" w:tooltip="Transporto priemonės iki perdirbimo nuotraukos">
            <w:r>
              <w:rPr>
                <w:rStyle w:val="IndexLink"/>
              </w:rPr>
              <w:t>1.1.</w:t>
              <w:tab/>
              <w:t>Transporto priemonės iki perdirbimo nuotraukos</w:t>
              <w:tab/>
              <w:t>2</w:t>
            </w:r>
          </w:hyperlink>
        </w:p>
        <w:p>
          <w:pPr>
            <w:pStyle w:val="TOC1"/>
            <w:tabs>
              <w:tab w:val="clear" w:pos="9638"/>
              <w:tab w:val="left" w:pos="850" w:leader="none"/>
              <w:tab w:val="right" w:pos="9637" w:leader="dot"/>
            </w:tabs>
            <w:rPr/>
          </w:pPr>
          <w:hyperlink w:anchor="__RefHeading___Toc629_3585910784" w:tooltip="Transporto priemonės perdirbimas">
            <w:r>
              <w:rPr>
                <w:rStyle w:val="IndexLink"/>
              </w:rPr>
              <w:t>2.</w:t>
              <w:tab/>
              <w:t>Transporto priemonės perdirbimas</w:t>
              <w:tab/>
              <w:t>7</w:t>
            </w:r>
          </w:hyperlink>
        </w:p>
        <w:p>
          <w:pPr>
            <w:pStyle w:val="TOC1"/>
            <w:tabs>
              <w:tab w:val="clear" w:pos="9638"/>
              <w:tab w:val="left" w:pos="850" w:leader="none"/>
              <w:tab w:val="right" w:pos="9637" w:leader="dot"/>
            </w:tabs>
            <w:rPr/>
          </w:pPr>
          <w:hyperlink w:anchor="__RefHeading___Toc631_3585910784" w:tooltip="Atliktas perdirbimas">
            <w:r>
              <w:rPr>
                <w:rStyle w:val="IndexLink"/>
              </w:rPr>
              <w:t>2.1.</w:t>
              <w:tab/>
              <w:t>Atliktas perdirbimas</w:t>
              <w:tab/>
              <w:t>7</w:t>
            </w:r>
          </w:hyperlink>
        </w:p>
        <w:p>
          <w:pPr>
            <w:pStyle w:val="TOC1"/>
            <w:tabs>
              <w:tab w:val="clear" w:pos="9638"/>
              <w:tab w:val="left" w:pos="850" w:leader="none"/>
              <w:tab w:val="right" w:pos="9637" w:leader="dot"/>
            </w:tabs>
            <w:rPr/>
          </w:pPr>
          <w:hyperlink w:anchor="__RefHeading___Toc4892_677914383" w:tooltip="Perdirbimo įtaka automobilio sistemų veikimui">
            <w:r>
              <w:rPr>
                <w:rStyle w:val="IndexLink"/>
              </w:rPr>
              <w:t>2.2.</w:t>
              <w:tab/>
              <w:t>Perdirbimo įtaka automobilio sistemų veikimui</w:t>
              <w:tab/>
              <w:t>7</w:t>
            </w:r>
          </w:hyperlink>
        </w:p>
        <w:p>
          <w:pPr>
            <w:pStyle w:val="TOC1"/>
            <w:tabs>
              <w:tab w:val="clear" w:pos="9638"/>
              <w:tab w:val="left" w:pos="850" w:leader="none"/>
              <w:tab w:val="right" w:pos="9637" w:leader="dot"/>
            </w:tabs>
            <w:rPr/>
          </w:pPr>
          <w:hyperlink w:anchor="__RefHeading___Toc1066_677914383" w:tooltip="Vairavimo sistema">
            <w:r>
              <w:rPr>
                <w:rStyle w:val="IndexLink"/>
              </w:rPr>
              <w:t>2.2.1.</w:t>
              <w:tab/>
              <w:t>Vairavimo sistema</w:t>
              <w:tab/>
              <w:t>7</w:t>
            </w:r>
          </w:hyperlink>
        </w:p>
        <w:p>
          <w:pPr>
            <w:pStyle w:val="TOC1"/>
            <w:tabs>
              <w:tab w:val="clear" w:pos="9638"/>
              <w:tab w:val="left" w:pos="850" w:leader="none"/>
              <w:tab w:val="right" w:pos="9637" w:leader="dot"/>
            </w:tabs>
            <w:rPr/>
          </w:pPr>
          <w:hyperlink w:anchor="__RefHeading___Toc1068_677914383" w:tooltip="Stabdžių sistema">
            <w:r>
              <w:rPr>
                <w:rStyle w:val="IndexLink"/>
              </w:rPr>
              <w:t>2.2.2.</w:t>
              <w:tab/>
              <w:t>Stabdžių sistema</w:t>
              <w:tab/>
              <w:t>7</w:t>
            </w:r>
          </w:hyperlink>
        </w:p>
        <w:p>
          <w:pPr>
            <w:pStyle w:val="TOC1"/>
            <w:tabs>
              <w:tab w:val="clear" w:pos="9638"/>
              <w:tab w:val="left" w:pos="850" w:leader="none"/>
              <w:tab w:val="right" w:pos="9637" w:leader="dot"/>
            </w:tabs>
            <w:rPr/>
          </w:pPr>
          <w:hyperlink w:anchor="__RefHeading___Toc1070_677914383" w:tooltip="Rėmas, kėbulas">
            <w:r>
              <w:rPr>
                <w:rStyle w:val="IndexLink"/>
              </w:rPr>
              <w:t>2.2.3.</w:t>
              <w:tab/>
              <w:t>Rėmas, kėbulas</w:t>
              <w:tab/>
              <w:t>7</w:t>
            </w:r>
          </w:hyperlink>
        </w:p>
        <w:p>
          <w:pPr>
            <w:pStyle w:val="TOC1"/>
            <w:tabs>
              <w:tab w:val="clear" w:pos="9638"/>
              <w:tab w:val="left" w:pos="850" w:leader="none"/>
              <w:tab w:val="right" w:pos="9637" w:leader="dot"/>
            </w:tabs>
            <w:rPr/>
          </w:pPr>
          <w:hyperlink w:anchor="__RefHeading___Toc1072_677914383" w:tooltip="Ašys">
            <w:r>
              <w:rPr>
                <w:rStyle w:val="IndexLink"/>
              </w:rPr>
              <w:t>2.2.4.</w:t>
              <w:tab/>
              <w:t>Ašys</w:t>
              <w:tab/>
              <w:t>7</w:t>
            </w:r>
          </w:hyperlink>
        </w:p>
        <w:p>
          <w:pPr>
            <w:pStyle w:val="TOC1"/>
            <w:tabs>
              <w:tab w:val="clear" w:pos="9638"/>
              <w:tab w:val="left" w:pos="850" w:leader="none"/>
              <w:tab w:val="right" w:pos="9637" w:leader="dot"/>
            </w:tabs>
            <w:rPr/>
          </w:pPr>
          <w:hyperlink w:anchor="__RefHeading___Toc1074_677914383" w:tooltip="Pakabos elementai">
            <w:r>
              <w:rPr>
                <w:rStyle w:val="IndexLink"/>
              </w:rPr>
              <w:t>2.2.5.</w:t>
              <w:tab/>
              <w:t>Pakabos elementai</w:t>
              <w:tab/>
              <w:t>7</w:t>
            </w:r>
          </w:hyperlink>
        </w:p>
        <w:p>
          <w:pPr>
            <w:pStyle w:val="TOC1"/>
            <w:tabs>
              <w:tab w:val="clear" w:pos="9638"/>
              <w:tab w:val="left" w:pos="850" w:leader="none"/>
              <w:tab w:val="right" w:pos="9637" w:leader="dot"/>
            </w:tabs>
            <w:rPr/>
          </w:pPr>
          <w:hyperlink w:anchor="__RefHeading___Toc1076_677914383" w:tooltip="Variklis">
            <w:r>
              <w:rPr>
                <w:rStyle w:val="IndexLink"/>
              </w:rPr>
              <w:t>2.2.6.</w:t>
              <w:tab/>
              <w:t>Variklis</w:t>
              <w:tab/>
              <w:t>7</w:t>
            </w:r>
          </w:hyperlink>
        </w:p>
        <w:p>
          <w:pPr>
            <w:pStyle w:val="TOC1"/>
            <w:tabs>
              <w:tab w:val="clear" w:pos="9638"/>
              <w:tab w:val="left" w:pos="850" w:leader="none"/>
              <w:tab w:val="right" w:pos="9637" w:leader="dot"/>
            </w:tabs>
            <w:rPr/>
          </w:pPr>
          <w:hyperlink w:anchor="__RefHeading___Toc1078_677914383" w:tooltip="Transmisija">
            <w:r>
              <w:rPr>
                <w:rStyle w:val="IndexLink"/>
              </w:rPr>
              <w:t>2.2.7.</w:t>
              <w:tab/>
              <w:t>Transmisija</w:t>
              <w:tab/>
              <w:t>7</w:t>
            </w:r>
          </w:hyperlink>
        </w:p>
        <w:p>
          <w:pPr>
            <w:pStyle w:val="TOC1"/>
            <w:tabs>
              <w:tab w:val="clear" w:pos="9638"/>
              <w:tab w:val="left" w:pos="850" w:leader="none"/>
              <w:tab w:val="right" w:pos="9637" w:leader="dot"/>
            </w:tabs>
            <w:rPr/>
          </w:pPr>
          <w:hyperlink w:anchor="__RefHeading___Toc633_3585910784" w:tooltip="Detalus perdirbimo aprašymas">
            <w:r>
              <w:rPr>
                <w:rStyle w:val="IndexLink"/>
              </w:rPr>
              <w:t>2.3.</w:t>
              <w:tab/>
              <w:t>Detalus perdirbimo aprašymas</w:t>
              <w:tab/>
              <w:t>8</w:t>
            </w:r>
          </w:hyperlink>
        </w:p>
        <w:p>
          <w:pPr>
            <w:pStyle w:val="TOC1"/>
            <w:tabs>
              <w:tab w:val="clear" w:pos="9638"/>
              <w:tab w:val="left" w:pos="850" w:leader="none"/>
              <w:tab w:val="right" w:pos="9637" w:leader="dot"/>
            </w:tabs>
            <w:rPr/>
          </w:pPr>
          <w:hyperlink w:anchor="__RefHeading___Toc635_3585910784" w:tooltip="Varikliai">
            <w:r>
              <w:rPr>
                <w:rStyle w:val="IndexLink"/>
              </w:rPr>
              <w:t>2.3.1.</w:t>
              <w:tab/>
              <w:t>Varikliai</w:t>
              <w:tab/>
              <w:t>8</w:t>
            </w:r>
          </w:hyperlink>
        </w:p>
        <w:p>
          <w:pPr>
            <w:pStyle w:val="TOC1"/>
            <w:tabs>
              <w:tab w:val="clear" w:pos="9638"/>
              <w:tab w:val="left" w:pos="850" w:leader="none"/>
              <w:tab w:val="right" w:pos="9637" w:leader="dot"/>
            </w:tabs>
            <w:rPr/>
          </w:pPr>
          <w:hyperlink w:anchor="__RefHeading___Toc711_677914383" w:tooltip="Variklio elektros sistema">
            <w:r>
              <w:rPr>
                <w:rStyle w:val="IndexLink"/>
              </w:rPr>
              <w:t>2.3.2.</w:t>
              <w:tab/>
              <w:t>Variklio elektros sistema</w:t>
              <w:tab/>
              <w:t>8</w:t>
            </w:r>
          </w:hyperlink>
        </w:p>
        <w:p>
          <w:pPr>
            <w:pStyle w:val="TOC1"/>
            <w:tabs>
              <w:tab w:val="clear" w:pos="9638"/>
              <w:tab w:val="left" w:pos="850" w:leader="none"/>
              <w:tab w:val="right" w:pos="9637" w:leader="dot"/>
            </w:tabs>
            <w:rPr/>
          </w:pPr>
          <w:hyperlink w:anchor="__RefHeading___Toc637_3585910784" w:tooltip="Emisijos">
            <w:r>
              <w:rPr>
                <w:rStyle w:val="IndexLink"/>
              </w:rPr>
              <w:t>2.3.3.</w:t>
              <w:tab/>
              <w:t>Emisijos</w:t>
              <w:tab/>
              <w:t>9</w:t>
            </w:r>
          </w:hyperlink>
        </w:p>
        <w:p>
          <w:pPr>
            <w:pStyle w:val="TOC1"/>
            <w:tabs>
              <w:tab w:val="clear" w:pos="9638"/>
              <w:tab w:val="left" w:pos="850" w:leader="none"/>
              <w:tab w:val="right" w:pos="9637" w:leader="dot"/>
            </w:tabs>
            <w:rPr/>
          </w:pPr>
          <w:hyperlink w:anchor="__RefHeading___Toc2976_3585910784" w:tooltip="Išmetimo sistema">
            <w:r>
              <w:rPr>
                <w:rStyle w:val="IndexLink"/>
              </w:rPr>
              <w:t>2.3.4.</w:t>
              <w:tab/>
              <w:t>Išmetimo sistema</w:t>
              <w:tab/>
              <w:t>9</w:t>
            </w:r>
          </w:hyperlink>
        </w:p>
        <w:p>
          <w:pPr>
            <w:pStyle w:val="TOC1"/>
            <w:tabs>
              <w:tab w:val="clear" w:pos="9638"/>
              <w:tab w:val="left" w:pos="850" w:leader="none"/>
              <w:tab w:val="right" w:pos="9637" w:leader="dot"/>
            </w:tabs>
            <w:rPr/>
          </w:pPr>
          <w:hyperlink w:anchor="__RefHeading___Toc641_3585910784" w:tooltip="Sankabos komplektas">
            <w:r>
              <w:rPr>
                <w:rStyle w:val="IndexLink"/>
              </w:rPr>
              <w:t>2.3.5.</w:t>
              <w:tab/>
              <w:t>Sankabos komplektas</w:t>
              <w:tab/>
              <w:t>9</w:t>
            </w:r>
          </w:hyperlink>
        </w:p>
        <w:p>
          <w:pPr>
            <w:pStyle w:val="TOC1"/>
            <w:tabs>
              <w:tab w:val="clear" w:pos="9638"/>
              <w:tab w:val="left" w:pos="850" w:leader="none"/>
              <w:tab w:val="right" w:pos="9637" w:leader="dot"/>
            </w:tabs>
            <w:rPr/>
          </w:pPr>
          <w:hyperlink w:anchor="__RefHeading___Toc643_3585910784" w:tooltip="Stabdžiai">
            <w:r>
              <w:rPr>
                <w:rStyle w:val="IndexLink"/>
              </w:rPr>
              <w:t>2.3.6.</w:t>
              <w:tab/>
              <w:t>Stabdžiai</w:t>
              <w:tab/>
              <w:t>10</w:t>
            </w:r>
          </w:hyperlink>
        </w:p>
        <w:p>
          <w:pPr>
            <w:pStyle w:val="TOC1"/>
            <w:tabs>
              <w:tab w:val="clear" w:pos="9638"/>
              <w:tab w:val="left" w:pos="850" w:leader="none"/>
              <w:tab w:val="right" w:pos="9637" w:leader="dot"/>
            </w:tabs>
            <w:rPr/>
          </w:pPr>
          <w:hyperlink w:anchor="__RefHeading___Toc645_3585910784" w:tooltip="Aušinimas">
            <w:r>
              <w:rPr>
                <w:rStyle w:val="IndexLink"/>
              </w:rPr>
              <w:t>2.3.7.</w:t>
              <w:tab/>
              <w:t>Aušinimas</w:t>
              <w:tab/>
              <w:t>10</w:t>
            </w:r>
          </w:hyperlink>
        </w:p>
        <w:p>
          <w:pPr>
            <w:pStyle w:val="TOC1"/>
            <w:tabs>
              <w:tab w:val="clear" w:pos="9638"/>
              <w:tab w:val="left" w:pos="850" w:leader="none"/>
              <w:tab w:val="right" w:pos="9637" w:leader="dot"/>
            </w:tabs>
            <w:rPr/>
          </w:pPr>
          <w:hyperlink w:anchor="__RefHeading___Toc647_3585910784" w:tooltip="Apibendrinimas">
            <w:r>
              <w:rPr>
                <w:rStyle w:val="IndexLink"/>
              </w:rPr>
              <w:t>2.3.8.</w:t>
              <w:tab/>
              <w:t>Apibendrinimas</w:t>
              <w:tab/>
              <w:t>10</w:t>
            </w:r>
          </w:hyperlink>
        </w:p>
        <w:p>
          <w:pPr>
            <w:pStyle w:val="TOC1"/>
            <w:tabs>
              <w:tab w:val="clear" w:pos="9638"/>
              <w:tab w:val="left" w:pos="850" w:leader="none"/>
              <w:tab w:val="right" w:pos="9637" w:leader="dot"/>
            </w:tabs>
            <w:rPr/>
          </w:pPr>
          <w:hyperlink w:anchor="__RefHeading___Toc649_3585910784" w:tooltip="Šaltiniai">
            <w:r>
              <w:rPr>
                <w:rStyle w:val="IndexLink"/>
              </w:rPr>
              <w:t>2.3.9.</w:t>
              <w:tab/>
              <w:t>Šaltiniai</w:t>
              <w:tab/>
              <w:t>11</w:t>
            </w:r>
          </w:hyperlink>
        </w:p>
        <w:p>
          <w:pPr>
            <w:pStyle w:val="TOC1"/>
            <w:tabs>
              <w:tab w:val="clear" w:pos="9638"/>
              <w:tab w:val="left" w:pos="850" w:leader="none"/>
              <w:tab w:val="right" w:pos="9637" w:leader="dot"/>
            </w:tabs>
            <w:rPr/>
          </w:pPr>
          <w:hyperlink w:anchor="__RefHeading___Toc625_3585910784_Copy_1" w:tooltip="Transporto priemonės duomenys po perdirbimo">
            <w:r>
              <w:rPr>
                <w:rStyle w:val="IndexLink"/>
              </w:rPr>
              <w:t>3.</w:t>
              <w:tab/>
              <w:t>Transporto priemonės duomenys po perdirbimo</w:t>
              <w:tab/>
              <w:t>12</w:t>
            </w:r>
          </w:hyperlink>
        </w:p>
        <w:p>
          <w:pPr>
            <w:pStyle w:val="TOC1"/>
            <w:tabs>
              <w:tab w:val="clear" w:pos="9638"/>
              <w:tab w:val="left" w:pos="850" w:leader="none"/>
              <w:tab w:val="right" w:pos="9637" w:leader="dot"/>
            </w:tabs>
            <w:rPr/>
          </w:pPr>
          <w:hyperlink w:anchor="__RefHeading___Toc1480_3585910784" w:tooltip="Transporto priemonės po perdirbimo nuotraukos">
            <w:r>
              <w:rPr>
                <w:rStyle w:val="IndexLink"/>
              </w:rPr>
              <w:t>3.1.</w:t>
              <w:tab/>
              <w:t>Transporto priemonės po perdirbimo nuotraukos</w:t>
              <w:tab/>
              <w:t>13</w:t>
            </w:r>
          </w:hyperlink>
        </w:p>
        <w:p>
          <w:pPr>
            <w:pStyle w:val="TOC1"/>
            <w:tabs>
              <w:tab w:val="clear" w:pos="9638"/>
              <w:tab w:val="left" w:pos="850" w:leader="none"/>
              <w:tab w:val="right" w:pos="9637" w:leader="dot"/>
            </w:tabs>
            <w:rPr/>
          </w:pPr>
          <w:hyperlink w:anchor="__RefHeading___Toc1804_3585910784" w:tooltip="Priedai">
            <w:r>
              <w:rPr>
                <w:rStyle w:val="IndexLink"/>
              </w:rPr>
              <w:t>4.</w:t>
              <w:tab/>
              <w:t>Priedai</w:t>
              <w:tab/>
              <w:t>17</w:t>
            </w:r>
          </w:hyperlink>
        </w:p>
        <w:p>
          <w:pPr>
            <w:pStyle w:val="TOC1"/>
            <w:tabs>
              <w:tab w:val="clear" w:pos="9638"/>
              <w:tab w:val="left" w:pos="850" w:leader="none"/>
              <w:tab w:val="right" w:pos="9637" w:leader="dot"/>
            </w:tabs>
            <w:rPr/>
          </w:pPr>
          <w:hyperlink w:anchor="__RefHeading___Toc1806_3585910784" w:tooltip="Transporto priemonės įsigyjimo sutartis">
            <w:r>
              <w:rPr>
                <w:rStyle w:val="IndexLink"/>
              </w:rPr>
              <w:t>4.1.</w:t>
              <w:tab/>
              <w:t>Transporto priemonės įsigyjimo sutartis</w:t>
              <w:tab/>
              <w:t>17</w:t>
            </w:r>
          </w:hyperlink>
        </w:p>
        <w:p>
          <w:pPr>
            <w:pStyle w:val="TOC1"/>
            <w:tabs>
              <w:tab w:val="clear" w:pos="9638"/>
              <w:tab w:val="left" w:pos="850" w:leader="none"/>
              <w:tab w:val="right" w:pos="9637" w:leader="dot"/>
            </w:tabs>
            <w:rPr/>
          </w:pPr>
          <w:hyperlink w:anchor="__RefHeading___Toc1808_3585910784" w:tooltip="Variklio pirkimo dokumentas">
            <w:r>
              <w:rPr>
                <w:rStyle w:val="IndexLink"/>
              </w:rPr>
              <w:t>4.2.</w:t>
              <w:tab/>
              <w:t>Variklio pirkimo dokumentas</w:t>
              <w:tab/>
              <w:t>17</w:t>
            </w:r>
          </w:hyperlink>
        </w:p>
        <w:p>
          <w:pPr>
            <w:pStyle w:val="TOC1"/>
            <w:tabs>
              <w:tab w:val="clear" w:pos="9638"/>
              <w:tab w:val="left" w:pos="850" w:leader="none"/>
              <w:tab w:val="right" w:pos="9637" w:leader="dot"/>
            </w:tabs>
            <w:rPr/>
          </w:pPr>
          <w:hyperlink w:anchor="__RefHeading___Toc1080_677914383" w:tooltip="Greičių dėžės tvirtinimo taškai">
            <w:r>
              <w:rPr>
                <w:rStyle w:val="IndexLink"/>
              </w:rPr>
              <w:t>4.3.</w:t>
              <w:tab/>
              <w:t>Greičių dėžės tvirtinimo taškai</w:t>
              <w:tab/>
              <w:t>18</w:t>
            </w:r>
          </w:hyperlink>
        </w:p>
        <w:p>
          <w:pPr>
            <w:pStyle w:val="TOC1"/>
            <w:tabs>
              <w:tab w:val="clear" w:pos="9638"/>
              <w:tab w:val="left" w:pos="850" w:leader="none"/>
              <w:tab w:val="right" w:pos="9637" w:leader="dot"/>
            </w:tabs>
            <w:rPr/>
          </w:pPr>
          <w:hyperlink w:anchor="__RefHeading___Toc1082_677914383" w:tooltip="Variklio tvirtinimo taškai iš keleivio pusės">
            <w:r>
              <w:rPr>
                <w:rStyle w:val="IndexLink"/>
              </w:rPr>
              <w:t>4.4.</w:t>
              <w:tab/>
              <w:t>Variklio tvirtinimo taškai iš keleivio pusės</w:t>
              <w:tab/>
              <w:t>19</w:t>
            </w:r>
          </w:hyperlink>
        </w:p>
        <w:p>
          <w:pPr>
            <w:pStyle w:val="TOC1"/>
            <w:tabs>
              <w:tab w:val="clear" w:pos="9638"/>
              <w:tab w:val="left" w:pos="850" w:leader="none"/>
              <w:tab w:val="right" w:pos="9637" w:leader="dot"/>
            </w:tabs>
            <w:rPr/>
          </w:pPr>
          <w:hyperlink w:anchor="__RefHeading___Toc1084_677914383" w:tooltip="Variklio tvirtinimo taškai iš vairuotojo pusės">
            <w:r>
              <w:rPr>
                <w:rStyle w:val="IndexLink"/>
              </w:rPr>
              <w:t>4.5.</w:t>
              <w:tab/>
              <w:t>Variklio tvirtinimo taškai iš vairuotojo pusės</w:t>
              <w:tab/>
              <w:t>20</w:t>
            </w:r>
          </w:hyperlink>
          <w:r>
            <w:rPr>
              <w:rStyle w:val="IndexLink"/>
            </w:rPr>
            <w:fldChar w:fldCharType="end"/>
          </w:r>
        </w:p>
        <w:p>
          <w:pPr>
            <w:sectPr>
              <w:type w:val="nextPage"/>
              <w:pgSz w:w="11906" w:h="16838"/>
              <w:pgMar w:left="1134" w:right="1134" w:gutter="0" w:header="0" w:top="1134" w:footer="0" w:bottom="1134"/>
              <w:pgNumType w:fmt="decimal"/>
              <w:formProt w:val="false"/>
              <w:textDirection w:val="lrTb"/>
              <w:docGrid w:type="default" w:linePitch="100" w:charSpace="0"/>
            </w:sectPr>
          </w:pPr>
        </w:p>
      </w:sdtContent>
    </w:sdt>
    <w:p>
      <w:pPr>
        <w:pStyle w:val="Heading1"/>
        <w:numPr>
          <w:ilvl w:val="0"/>
          <w:numId w:val="2"/>
        </w:numPr>
        <w:rPr>
          <w:lang w:val="lt-LT"/>
        </w:rPr>
      </w:pPr>
      <w:bookmarkStart w:id="0" w:name="__RefHeading___Toc625_3585910784"/>
      <w:bookmarkEnd w:id="0"/>
      <w:r>
        <w:rPr>
          <w:lang w:val="lt-LT"/>
        </w:rPr>
        <w:t>Transporto priemonės duomenys prieš perdirbimą</w:t>
      </w:r>
    </w:p>
    <w:p>
      <w:pPr>
        <w:pStyle w:val="BodyText"/>
        <w:bidi w:val="0"/>
        <w:jc w:val="start"/>
        <w:rPr>
          <w:lang w:val="lt-LT"/>
        </w:rPr>
      </w:pPr>
      <w:r>
        <w:rPr>
          <w:lang w:val="lt-LT"/>
        </w:rPr>
        <w:t>Transporto priemonės „VW Transporter“ duomenys:</w:t>
      </w:r>
    </w:p>
    <w:p>
      <w:pPr>
        <w:pStyle w:val="BodyText"/>
        <w:numPr>
          <w:ilvl w:val="0"/>
          <w:numId w:val="3"/>
        </w:numPr>
        <w:bidi w:val="0"/>
        <w:jc w:val="start"/>
        <w:rPr>
          <w:lang w:val="lt-LT"/>
        </w:rPr>
      </w:pPr>
      <w:r>
        <w:rPr>
          <w:lang w:val="lt-LT"/>
        </w:rPr>
        <w:t>identifikavimo numeris: ***************;</w:t>
      </w:r>
    </w:p>
    <w:p>
      <w:pPr>
        <w:pStyle w:val="BodyText"/>
        <w:numPr>
          <w:ilvl w:val="0"/>
          <w:numId w:val="3"/>
        </w:numPr>
        <w:bidi w:val="0"/>
        <w:jc w:val="start"/>
        <w:rPr>
          <w:lang w:val="lt-LT"/>
        </w:rPr>
      </w:pPr>
      <w:r>
        <w:rPr>
          <w:lang w:val="lt-LT"/>
        </w:rPr>
        <w:t>pirmosios registracijos data: 1983 m.;</w:t>
      </w:r>
    </w:p>
    <w:p>
      <w:pPr>
        <w:pStyle w:val="BodyText"/>
        <w:numPr>
          <w:ilvl w:val="0"/>
          <w:numId w:val="3"/>
        </w:numPr>
        <w:bidi w:val="0"/>
        <w:jc w:val="start"/>
        <w:rPr>
          <w:lang w:val="lt-LT"/>
        </w:rPr>
      </w:pPr>
      <w:r>
        <w:rPr>
          <w:lang w:val="lt-LT"/>
        </w:rPr>
        <w:t>variklio duomenys:</w:t>
      </w:r>
    </w:p>
    <w:p>
      <w:pPr>
        <w:pStyle w:val="BodyText"/>
        <w:numPr>
          <w:ilvl w:val="1"/>
          <w:numId w:val="3"/>
        </w:numPr>
        <w:bidi w:val="0"/>
        <w:jc w:val="start"/>
        <w:rPr>
          <w:lang w:val="lt-LT"/>
        </w:rPr>
      </w:pPr>
      <w:r>
        <w:rPr>
          <w:lang w:val="lt-LT"/>
        </w:rPr>
        <w:t>galia, kW: 51 (Pasak eskperto klaida dokumentuose. Turėtų būti 37);</w:t>
      </w:r>
    </w:p>
    <w:p>
      <w:pPr>
        <w:pStyle w:val="BodyText"/>
        <w:numPr>
          <w:ilvl w:val="1"/>
          <w:numId w:val="3"/>
        </w:numPr>
        <w:bidi w:val="0"/>
        <w:jc w:val="start"/>
        <w:rPr>
          <w:lang w:val="lt-LT"/>
        </w:rPr>
      </w:pPr>
      <w:r>
        <w:rPr>
          <w:lang w:val="lt-LT"/>
        </w:rPr>
        <w:t>variklio darbinis tūris cm</w:t>
      </w:r>
      <w:r>
        <w:rPr>
          <w:vertAlign w:val="superscript"/>
          <w:lang w:val="lt-LT"/>
        </w:rPr>
        <w:t>2</w:t>
      </w:r>
      <w:r>
        <w:rPr>
          <w:position w:val="0"/>
          <w:sz w:val="24"/>
          <w:vertAlign w:val="baseline"/>
          <w:lang w:val="lt-LT"/>
        </w:rPr>
        <w:t>: 1570 (Pasak eskperto klaida dokumentuose. Turėtų būti 1588);</w:t>
      </w:r>
    </w:p>
    <w:p>
      <w:pPr>
        <w:pStyle w:val="BodyText"/>
        <w:numPr>
          <w:ilvl w:val="1"/>
          <w:numId w:val="3"/>
        </w:numPr>
        <w:bidi w:val="0"/>
        <w:jc w:val="start"/>
        <w:rPr>
          <w:lang w:val="lt-LT"/>
        </w:rPr>
      </w:pPr>
      <w:r>
        <w:rPr>
          <w:lang w:val="lt-LT"/>
        </w:rPr>
        <w:t>degalai: dyzelinas;</w:t>
      </w:r>
    </w:p>
    <w:p>
      <w:pPr>
        <w:pStyle w:val="BodyText"/>
        <w:numPr>
          <w:ilvl w:val="0"/>
          <w:numId w:val="3"/>
        </w:numPr>
        <w:bidi w:val="0"/>
        <w:jc w:val="start"/>
        <w:rPr>
          <w:lang w:val="lt-LT"/>
        </w:rPr>
      </w:pPr>
      <w:r>
        <w:rPr>
          <w:lang w:val="lt-LT"/>
        </w:rPr>
        <w:t>parengtos eksploatuoti transporto priemonės masė: 1393kg;</w:t>
      </w:r>
    </w:p>
    <w:p>
      <w:pPr>
        <w:pStyle w:val="BodyText"/>
        <w:numPr>
          <w:ilvl w:val="0"/>
          <w:numId w:val="3"/>
        </w:numPr>
        <w:bidi w:val="0"/>
        <w:jc w:val="start"/>
        <w:rPr>
          <w:lang w:val="lt-LT"/>
        </w:rPr>
      </w:pPr>
      <w:r>
        <w:rPr>
          <w:lang w:val="lt-LT"/>
        </w:rPr>
        <w:t>didžiausia techniškai leistina pakrautos transporto priemonės masė: 2390kg;</w:t>
      </w:r>
    </w:p>
    <w:p>
      <w:pPr>
        <w:pStyle w:val="BodyText"/>
        <w:numPr>
          <w:ilvl w:val="0"/>
          <w:numId w:val="3"/>
        </w:numPr>
        <w:bidi w:val="0"/>
        <w:jc w:val="start"/>
        <w:rPr>
          <w:lang w:val="lt-LT"/>
        </w:rPr>
      </w:pPr>
      <w:r>
        <w:rPr>
          <w:lang w:val="lt-LT"/>
        </w:rPr>
        <w:t>didžiausia techniškai leidžiama kiekvienai ašiai tenkanti masė:</w:t>
      </w:r>
    </w:p>
    <w:p>
      <w:pPr>
        <w:pStyle w:val="BodyText"/>
        <w:numPr>
          <w:ilvl w:val="1"/>
          <w:numId w:val="3"/>
        </w:numPr>
        <w:bidi w:val="0"/>
        <w:jc w:val="start"/>
        <w:rPr>
          <w:lang w:val="lt-LT"/>
        </w:rPr>
      </w:pPr>
      <w:r>
        <w:rPr>
          <w:lang w:val="lt-LT"/>
        </w:rPr>
        <w:t>priekinė ašis: 1100kg;</w:t>
      </w:r>
    </w:p>
    <w:p>
      <w:pPr>
        <w:pStyle w:val="BodyText"/>
        <w:numPr>
          <w:ilvl w:val="1"/>
          <w:numId w:val="3"/>
        </w:numPr>
        <w:bidi w:val="0"/>
        <w:jc w:val="start"/>
        <w:rPr>
          <w:lang w:val="lt-LT"/>
        </w:rPr>
      </w:pPr>
      <w:r>
        <w:rPr>
          <w:lang w:val="lt-LT"/>
        </w:rPr>
        <w:t>galinė ašis: 1300kg;</w:t>
      </w:r>
    </w:p>
    <w:p>
      <w:pPr>
        <w:pStyle w:val="BodyText"/>
        <w:numPr>
          <w:ilvl w:val="0"/>
          <w:numId w:val="3"/>
        </w:numPr>
        <w:bidi w:val="0"/>
        <w:jc w:val="start"/>
        <w:rPr>
          <w:lang w:val="lt-LT"/>
        </w:rPr>
      </w:pPr>
      <w:r>
        <w:rPr>
          <w:lang w:val="lt-LT"/>
        </w:rPr>
        <w:t>didžiausia techniškai leistina junginio masė: 3600kg;</w:t>
      </w:r>
    </w:p>
    <w:p>
      <w:pPr>
        <w:pStyle w:val="BodyText"/>
        <w:numPr>
          <w:ilvl w:val="0"/>
          <w:numId w:val="3"/>
        </w:numPr>
        <w:bidi w:val="0"/>
        <w:jc w:val="start"/>
        <w:rPr>
          <w:lang w:val="lt-LT"/>
        </w:rPr>
      </w:pPr>
      <w:r>
        <w:rPr>
          <w:lang w:val="lt-LT"/>
        </w:rPr>
        <w:t>sėdimų vietų skaičius: 8.</w:t>
      </w:r>
    </w:p>
    <w:p>
      <w:pPr>
        <w:pStyle w:val="BodyText"/>
        <w:bidi w:val="0"/>
        <w:jc w:val="start"/>
        <w:rPr>
          <w:lang w:val="lt-LT"/>
        </w:rPr>
      </w:pPr>
      <w:r>
        <w:rPr>
          <w:lang w:val="lt-LT"/>
        </w:rPr>
      </w:r>
      <w:r>
        <w:br w:type="page"/>
      </w:r>
    </w:p>
    <w:p>
      <w:pPr>
        <w:pStyle w:val="Heading1"/>
        <w:numPr>
          <w:ilvl w:val="1"/>
          <w:numId w:val="2"/>
        </w:numPr>
        <w:spacing w:before="0" w:after="120"/>
        <w:rPr>
          <w:lang w:val="lt-LT"/>
        </w:rPr>
      </w:pPr>
      <w:bookmarkStart w:id="1" w:name="__RefHeading___Toc627_3585910784"/>
      <w:bookmarkEnd w:id="1"/>
      <w:r>
        <w:rPr>
          <w:lang w:val="lt-LT"/>
        </w:rPr>
        <w:t>Transporto priemonės iki perdirbimo nuotraukos</w:t>
      </w:r>
    </w:p>
    <w:tbl>
      <w:tblPr>
        <w:tblW w:w="5000" w:type="pct"/>
        <w:jc w:val="start"/>
        <w:tblInd w:w="0" w:type="dxa"/>
        <w:tblLayout w:type="fixed"/>
        <w:tblCellMar>
          <w:top w:w="55" w:type="dxa"/>
          <w:start w:w="55" w:type="dxa"/>
          <w:bottom w:w="55" w:type="dxa"/>
          <w:end w:w="55" w:type="dxa"/>
        </w:tblCellMar>
      </w:tblPr>
      <w:tblGrid>
        <w:gridCol w:w="9638"/>
      </w:tblGrid>
      <w:tr>
        <w:trPr/>
        <w:tc>
          <w:tcPr>
            <w:tcW w:w="9638" w:type="dxa"/>
            <w:tcBorders/>
          </w:tcPr>
          <w:p>
            <w:pPr>
              <w:pStyle w:val="TableContents"/>
              <w:bidi w:val="0"/>
              <w:jc w:val="start"/>
              <w:rPr>
                <w:lang w:val="lt-LT"/>
              </w:rPr>
            </w:pPr>
            <w:r>
              <w:rPr>
                <w:lang w:val="lt-LT"/>
              </w:rPr>
              <w:fldChar w:fldCharType="begin"/>
            </w:r>
            <w:r>
              <w:rPr>
                <w:lang w:val="lt-LT"/>
              </w:rPr>
              <w:instrText xml:space="preserve"> SEQ Paveikslėlis \* ARABIC </w:instrText>
            </w:r>
            <w:r>
              <w:rPr>
                <w:lang w:val="lt-LT"/>
              </w:rPr>
              <w:fldChar w:fldCharType="separate"/>
            </w:r>
            <w:r>
              <w:rPr>
                <w:lang w:val="lt-LT"/>
              </w:rPr>
              <w:t>1</w:t>
            </w:r>
            <w:r>
              <w:rPr>
                <w:lang w:val="lt-LT"/>
              </w:rPr>
              <w:fldChar w:fldCharType="end"/>
            </w:r>
            <w:r>
              <w:rPr>
                <w:lang w:val="lt-LT"/>
              </w:rPr>
              <w:t xml:space="preserve">, </w:t>
            </w:r>
            <w:r>
              <w:rPr>
                <w:lang w:val="lt-LT"/>
              </w:rPr>
              <w:fldChar w:fldCharType="begin"/>
            </w:r>
            <w:r>
              <w:rPr>
                <w:lang w:val="lt-LT"/>
              </w:rPr>
              <w:instrText xml:space="preserve"> SEQ Paveikslėlis \* ARABIC </w:instrText>
            </w:r>
            <w:r>
              <w:rPr>
                <w:lang w:val="lt-LT"/>
              </w:rPr>
              <w:fldChar w:fldCharType="separate"/>
            </w:r>
            <w:r>
              <w:rPr>
                <w:lang w:val="lt-LT"/>
              </w:rPr>
              <w:t>2</w:t>
            </w:r>
            <w:r>
              <w:rPr>
                <w:lang w:val="lt-LT"/>
              </w:rPr>
              <w:fldChar w:fldCharType="end"/>
            </w:r>
            <w:r>
              <w:rPr>
                <w:lang w:val="lt-LT"/>
              </w:rPr>
              <w:t xml:space="preserve"> pav. Transporto priemonės registracijos liudijimas.</w:t>
            </w:r>
          </w:p>
        </w:tc>
      </w:tr>
      <w:tr>
        <w:trPr/>
        <w:tc>
          <w:tcPr>
            <w:tcW w:w="9638" w:type="dxa"/>
            <w:tcBorders/>
          </w:tcPr>
          <w:p>
            <w:pPr>
              <w:pStyle w:val="TableContents"/>
              <w:bidi w:val="0"/>
              <w:jc w:val="start"/>
              <w:rPr>
                <w:lang w:val="lt-LT"/>
              </w:rPr>
            </w:pPr>
            <w:r>
              <w:rPr>
                <w:lang w:val="lt-LT"/>
              </w:rPr>
              <w:fldChar w:fldCharType="begin"/>
            </w:r>
            <w:r>
              <w:rPr>
                <w:lang w:val="lt-LT"/>
              </w:rPr>
              <w:instrText xml:space="preserve"> SEQ Paveikslėlis \* ARABIC </w:instrText>
            </w:r>
            <w:r>
              <w:rPr>
                <w:lang w:val="lt-LT"/>
              </w:rPr>
              <w:fldChar w:fldCharType="separate"/>
            </w:r>
            <w:r>
              <w:rPr>
                <w:lang w:val="lt-LT"/>
              </w:rPr>
              <w:t>3</w:t>
            </w:r>
            <w:r>
              <w:rPr>
                <w:lang w:val="lt-LT"/>
              </w:rPr>
              <w:fldChar w:fldCharType="end"/>
            </w:r>
            <w:r>
              <w:rPr>
                <w:lang w:val="lt-LT"/>
              </w:rPr>
              <w:t xml:space="preserve"> </w:t>
            </w:r>
            <w:r>
              <w:rPr>
                <w:lang w:val="lt-LT"/>
              </w:rPr>
              <w:t>pav. Transporto priemonės identifikavimo numeris.</w:t>
            </w:r>
          </w:p>
        </w:tc>
      </w:tr>
      <w:tr>
        <w:trPr>
          <w:trHeight w:val="149" w:hRule="atLeast"/>
        </w:trPr>
        <w:tc>
          <w:tcPr>
            <w:tcW w:w="9638" w:type="dxa"/>
            <w:tcBorders/>
          </w:tcPr>
          <w:p>
            <w:pPr>
              <w:pStyle w:val="TableContents"/>
              <w:bidi w:val="0"/>
              <w:jc w:val="start"/>
              <w:rPr>
                <w:lang w:val="lt-LT"/>
              </w:rPr>
            </w:pPr>
            <w:r>
              <w:rPr>
                <w:lang w:val="lt-LT"/>
              </w:rPr>
              <w:fldChar w:fldCharType="begin"/>
            </w:r>
            <w:r>
              <w:rPr>
                <w:lang w:val="lt-LT"/>
              </w:rPr>
              <w:instrText xml:space="preserve"> SEQ Paveikslėlis \* ARABIC </w:instrText>
            </w:r>
            <w:r>
              <w:rPr>
                <w:lang w:val="lt-LT"/>
              </w:rPr>
              <w:fldChar w:fldCharType="separate"/>
            </w:r>
            <w:r>
              <w:rPr>
                <w:lang w:val="lt-LT"/>
              </w:rPr>
              <w:t>4</w:t>
            </w:r>
            <w:r>
              <w:rPr>
                <w:lang w:val="lt-LT"/>
              </w:rPr>
              <w:fldChar w:fldCharType="end"/>
            </w:r>
            <w:r>
              <w:rPr>
                <w:lang w:val="lt-LT"/>
              </w:rPr>
              <w:t xml:space="preserve"> </w:t>
            </w:r>
            <w:r>
              <w:rPr>
                <w:lang w:val="lt-LT"/>
              </w:rPr>
              <w:t>pav. Transporto priemonės identifikavimo lentelė.</w:t>
            </w:r>
          </w:p>
        </w:tc>
      </w:tr>
      <w:tr>
        <w:trPr>
          <w:trHeight w:val="149" w:hRule="atLeast"/>
        </w:trPr>
        <w:tc>
          <w:tcPr>
            <w:tcW w:w="9638" w:type="dxa"/>
            <w:tcBorders/>
          </w:tcPr>
          <w:p>
            <w:pPr>
              <w:pStyle w:val="TableContents"/>
              <w:bidi w:val="0"/>
              <w:jc w:val="start"/>
              <w:rPr>
                <w:lang w:val="lt-LT"/>
              </w:rPr>
            </w:pPr>
            <w:r>
              <w:rPr/>
              <w:drawing>
                <wp:inline distT="0" distB="0" distL="0" distR="0">
                  <wp:extent cx="6050280" cy="4027805"/>
                  <wp:effectExtent l="0" t="0" r="0" b="0"/>
                  <wp:docPr id="1"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1"/>
                          <pic:cNvPicPr>
                            <a:picLocks noChangeAspect="1" noChangeArrowheads="1"/>
                          </pic:cNvPicPr>
                        </pic:nvPicPr>
                        <pic:blipFill>
                          <a:blip r:embed="rId2"/>
                          <a:srcRect l="0" t="11238" r="0" b="0"/>
                          <a:stretch>
                            <a:fillRect/>
                          </a:stretch>
                        </pic:blipFill>
                        <pic:spPr bwMode="auto">
                          <a:xfrm>
                            <a:off x="0" y="0"/>
                            <a:ext cx="6050280" cy="4027805"/>
                          </a:xfrm>
                          <a:prstGeom prst="rect">
                            <a:avLst/>
                          </a:prstGeom>
                          <a:noFill/>
                        </pic:spPr>
                      </pic:pic>
                    </a:graphicData>
                  </a:graphic>
                </wp:inline>
              </w:drawing>
            </w:r>
            <w:r>
              <w:rPr>
                <w:lang w:val="lt-LT"/>
              </w:rPr>
              <w:fldChar w:fldCharType="begin"/>
            </w:r>
            <w:r>
              <w:rPr>
                <w:lang w:val="lt-LT"/>
              </w:rPr>
              <w:instrText xml:space="preserve"> SEQ Paveikslėlis \* ARABIC </w:instrText>
            </w:r>
            <w:r>
              <w:rPr>
                <w:lang w:val="lt-LT"/>
              </w:rPr>
              <w:fldChar w:fldCharType="separate"/>
            </w:r>
            <w:r>
              <w:rPr>
                <w:lang w:val="lt-LT"/>
              </w:rPr>
              <w:t>5</w:t>
            </w:r>
            <w:r>
              <w:rPr>
                <w:lang w:val="lt-LT"/>
              </w:rPr>
              <w:fldChar w:fldCharType="end"/>
            </w:r>
            <w:r>
              <w:rPr>
                <w:lang w:val="lt-LT"/>
              </w:rPr>
              <w:t xml:space="preserve"> </w:t>
            </w:r>
            <w:r>
              <w:rPr>
                <w:lang w:val="lt-LT"/>
              </w:rPr>
              <w:t>pav. Variklis. (Nuotrauka analogiškos komplektacijos automobilio)</w:t>
            </w:r>
          </w:p>
        </w:tc>
      </w:tr>
      <w:tr>
        <w:trPr>
          <w:trHeight w:val="6771" w:hRule="atLeast"/>
        </w:trPr>
        <w:tc>
          <w:tcPr>
            <w:tcW w:w="9638" w:type="dxa"/>
            <w:tcBorders/>
          </w:tcPr>
          <w:p>
            <w:pPr>
              <w:pStyle w:val="TableContents"/>
              <w:bidi w:val="0"/>
              <w:jc w:val="start"/>
              <w:rPr>
                <w:lang w:val="lt-LT"/>
              </w:rPr>
            </w:pPr>
            <w:r>
              <w:rPr/>
              <w:drawing>
                <wp:inline distT="0" distB="0" distL="0" distR="0">
                  <wp:extent cx="6050280" cy="4151630"/>
                  <wp:effectExtent l="0" t="0" r="0" b="0"/>
                  <wp:docPr id="2"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4"/>
                          <pic:cNvPicPr>
                            <a:picLocks noChangeAspect="1" noChangeArrowheads="1"/>
                          </pic:cNvPicPr>
                        </pic:nvPicPr>
                        <pic:blipFill>
                          <a:blip r:embed="rId3"/>
                          <a:srcRect l="0" t="0" r="0" b="8499"/>
                          <a:stretch>
                            <a:fillRect/>
                          </a:stretch>
                        </pic:blipFill>
                        <pic:spPr bwMode="auto">
                          <a:xfrm>
                            <a:off x="0" y="0"/>
                            <a:ext cx="6050280" cy="4151630"/>
                          </a:xfrm>
                          <a:prstGeom prst="rect">
                            <a:avLst/>
                          </a:prstGeom>
                          <a:noFill/>
                        </pic:spPr>
                      </pic:pic>
                    </a:graphicData>
                  </a:graphic>
                </wp:inline>
              </w:drawing>
            </w:r>
            <w:r>
              <w:rPr>
                <w:lang w:val="lt-LT"/>
              </w:rPr>
              <w:fldChar w:fldCharType="begin"/>
            </w:r>
            <w:r>
              <w:rPr>
                <w:lang w:val="lt-LT"/>
              </w:rPr>
              <w:instrText xml:space="preserve"> SEQ Paveikslėlis \* ARABIC </w:instrText>
            </w:r>
            <w:r>
              <w:rPr>
                <w:lang w:val="lt-LT"/>
              </w:rPr>
              <w:fldChar w:fldCharType="separate"/>
            </w:r>
            <w:r>
              <w:rPr>
                <w:lang w:val="lt-LT"/>
              </w:rPr>
              <w:t>6</w:t>
            </w:r>
            <w:r>
              <w:rPr>
                <w:lang w:val="lt-LT"/>
              </w:rPr>
              <w:fldChar w:fldCharType="end"/>
            </w:r>
            <w:r>
              <w:rPr>
                <w:lang w:val="lt-LT"/>
              </w:rPr>
              <w:t xml:space="preserve"> </w:t>
            </w:r>
            <w:r>
              <w:rPr>
                <w:lang w:val="lt-LT"/>
              </w:rPr>
              <w:t>pav. Vairuotojo pusės variklio kronšteino tvirtinimas prie variklio. (Nuotrauka analogiškos komplektacijos automobilio)</w:t>
            </w:r>
          </w:p>
        </w:tc>
      </w:tr>
      <w:tr>
        <w:trPr/>
        <w:tc>
          <w:tcPr>
            <w:tcW w:w="9638" w:type="dxa"/>
            <w:tcBorders/>
          </w:tcPr>
          <w:p>
            <w:pPr>
              <w:pStyle w:val="TableContents"/>
              <w:bidi w:val="0"/>
              <w:jc w:val="start"/>
              <w:rPr>
                <w:lang w:val="lt-LT"/>
              </w:rPr>
            </w:pPr>
            <w:r>
              <w:rPr/>
              <w:drawing>
                <wp:inline distT="0" distB="0" distL="0" distR="0">
                  <wp:extent cx="6050280" cy="3818255"/>
                  <wp:effectExtent l="0" t="0" r="0" b="0"/>
                  <wp:docPr id="3"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2"/>
                          <pic:cNvPicPr>
                            <a:picLocks noChangeAspect="1" noChangeArrowheads="1"/>
                          </pic:cNvPicPr>
                        </pic:nvPicPr>
                        <pic:blipFill>
                          <a:blip r:embed="rId4"/>
                          <a:srcRect l="0" t="0" r="0" b="15851"/>
                          <a:stretch>
                            <a:fillRect/>
                          </a:stretch>
                        </pic:blipFill>
                        <pic:spPr bwMode="auto">
                          <a:xfrm>
                            <a:off x="0" y="0"/>
                            <a:ext cx="6050280" cy="3818255"/>
                          </a:xfrm>
                          <a:prstGeom prst="rect">
                            <a:avLst/>
                          </a:prstGeom>
                          <a:noFill/>
                        </pic:spPr>
                      </pic:pic>
                    </a:graphicData>
                  </a:graphic>
                </wp:inline>
              </w:drawing>
            </w:r>
            <w:r>
              <w:rPr/>
              <w:drawing>
                <wp:inline distT="0" distB="0" distL="0" distR="0">
                  <wp:extent cx="6050280" cy="3544570"/>
                  <wp:effectExtent l="0" t="0" r="0" b="0"/>
                  <wp:docPr id="4"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3"/>
                          <pic:cNvPicPr>
                            <a:picLocks noChangeAspect="1" noChangeArrowheads="1"/>
                          </pic:cNvPicPr>
                        </pic:nvPicPr>
                        <pic:blipFill>
                          <a:blip r:embed="rId5"/>
                          <a:srcRect l="0" t="13334" r="0" b="8551"/>
                          <a:stretch>
                            <a:fillRect/>
                          </a:stretch>
                        </pic:blipFill>
                        <pic:spPr bwMode="auto">
                          <a:xfrm>
                            <a:off x="0" y="0"/>
                            <a:ext cx="6050280" cy="3544570"/>
                          </a:xfrm>
                          <a:prstGeom prst="rect">
                            <a:avLst/>
                          </a:prstGeom>
                          <a:noFill/>
                        </pic:spPr>
                      </pic:pic>
                    </a:graphicData>
                  </a:graphic>
                </wp:inline>
              </w:drawing>
            </w:r>
            <w:r>
              <w:rPr>
                <w:lang w:val="lt-LT"/>
              </w:rPr>
              <w:fldChar w:fldCharType="begin"/>
            </w:r>
            <w:r>
              <w:rPr>
                <w:lang w:val="lt-LT"/>
              </w:rPr>
              <w:instrText xml:space="preserve"> SEQ Paveikslėlis \* ARABIC </w:instrText>
            </w:r>
            <w:r>
              <w:rPr>
                <w:lang w:val="lt-LT"/>
              </w:rPr>
              <w:fldChar w:fldCharType="separate"/>
            </w:r>
            <w:r>
              <w:rPr>
                <w:lang w:val="lt-LT"/>
              </w:rPr>
              <w:t>7</w:t>
            </w:r>
            <w:r>
              <w:rPr>
                <w:lang w:val="lt-LT"/>
              </w:rPr>
              <w:fldChar w:fldCharType="end"/>
            </w:r>
            <w:r>
              <w:rPr>
                <w:lang w:val="lt-LT"/>
              </w:rPr>
              <w:t xml:space="preserve">, </w:t>
            </w:r>
            <w:r>
              <w:rPr>
                <w:lang w:val="lt-LT"/>
              </w:rPr>
              <w:fldChar w:fldCharType="begin"/>
            </w:r>
            <w:r>
              <w:rPr>
                <w:lang w:val="lt-LT"/>
              </w:rPr>
              <w:instrText xml:space="preserve"> SEQ Paveikslėlis \* ARABIC </w:instrText>
            </w:r>
            <w:r>
              <w:rPr>
                <w:lang w:val="lt-LT"/>
              </w:rPr>
              <w:fldChar w:fldCharType="separate"/>
            </w:r>
            <w:r>
              <w:rPr>
                <w:lang w:val="lt-LT"/>
              </w:rPr>
              <w:t>8</w:t>
            </w:r>
            <w:r>
              <w:rPr>
                <w:lang w:val="lt-LT"/>
              </w:rPr>
              <w:fldChar w:fldCharType="end"/>
            </w:r>
            <w:r>
              <w:rPr>
                <w:lang w:val="lt-LT"/>
              </w:rPr>
              <w:t xml:space="preserve"> pav. Vairuotojo pusės variklio tvirtinimo taškas. Vaizdas iš galo ir iš priekio. (Nuotraukos analogiškos komplektacijos automobilio)</w:t>
            </w:r>
          </w:p>
        </w:tc>
      </w:tr>
      <w:tr>
        <w:trPr/>
        <w:tc>
          <w:tcPr>
            <w:tcW w:w="9638" w:type="dxa"/>
            <w:tcBorders/>
          </w:tcPr>
          <w:p>
            <w:pPr>
              <w:pStyle w:val="TableContents"/>
              <w:bidi w:val="0"/>
              <w:jc w:val="start"/>
              <w:rPr>
                <w:lang w:val="lt-LT"/>
              </w:rPr>
            </w:pPr>
            <w:r>
              <w:rPr/>
              <w:drawing>
                <wp:inline distT="0" distB="0" distL="0" distR="0">
                  <wp:extent cx="6050280" cy="4537710"/>
                  <wp:effectExtent l="0" t="0" r="0" b="0"/>
                  <wp:docPr id="5"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5"/>
                          <pic:cNvPicPr>
                            <a:picLocks noChangeAspect="1" noChangeArrowheads="1"/>
                          </pic:cNvPicPr>
                        </pic:nvPicPr>
                        <pic:blipFill>
                          <a:blip r:embed="rId6"/>
                          <a:stretch>
                            <a:fillRect/>
                          </a:stretch>
                        </pic:blipFill>
                        <pic:spPr bwMode="auto">
                          <a:xfrm>
                            <a:off x="0" y="0"/>
                            <a:ext cx="6050280" cy="4537710"/>
                          </a:xfrm>
                          <a:prstGeom prst="rect">
                            <a:avLst/>
                          </a:prstGeom>
                          <a:noFill/>
                        </pic:spPr>
                      </pic:pic>
                    </a:graphicData>
                  </a:graphic>
                </wp:inline>
              </w:drawing>
            </w:r>
            <w:r>
              <w:rPr>
                <w:lang w:val="lt-LT"/>
              </w:rPr>
              <w:fldChar w:fldCharType="begin"/>
            </w:r>
            <w:r>
              <w:rPr>
                <w:lang w:val="lt-LT"/>
              </w:rPr>
              <w:instrText xml:space="preserve"> SEQ Paveikslėlis \* ARABIC </w:instrText>
            </w:r>
            <w:r>
              <w:rPr>
                <w:lang w:val="lt-LT"/>
              </w:rPr>
              <w:fldChar w:fldCharType="separate"/>
            </w:r>
            <w:r>
              <w:rPr>
                <w:lang w:val="lt-LT"/>
              </w:rPr>
              <w:t>9</w:t>
            </w:r>
            <w:r>
              <w:rPr>
                <w:lang w:val="lt-LT"/>
              </w:rPr>
              <w:fldChar w:fldCharType="end"/>
            </w:r>
            <w:r>
              <w:rPr>
                <w:lang w:val="lt-LT"/>
              </w:rPr>
              <w:t xml:space="preserve"> </w:t>
            </w:r>
            <w:r>
              <w:rPr>
                <w:lang w:val="lt-LT"/>
              </w:rPr>
              <w:t>pav. Keleivio pusės variklio kronšteino tvirtinimas prie variklio. (Nuotrauka analogiškos komplektacijos automobilio)</w:t>
            </w:r>
          </w:p>
        </w:tc>
      </w:tr>
      <w:tr>
        <w:trPr/>
        <w:tc>
          <w:tcPr>
            <w:tcW w:w="9638" w:type="dxa"/>
            <w:tcBorders/>
          </w:tcPr>
          <w:p>
            <w:pPr>
              <w:pStyle w:val="TableContents"/>
              <w:bidi w:val="0"/>
              <w:jc w:val="start"/>
              <w:rPr>
                <w:lang w:val="lt-LT"/>
              </w:rPr>
            </w:pPr>
            <w:r>
              <w:rPr/>
              <w:drawing>
                <wp:inline distT="0" distB="0" distL="0" distR="0">
                  <wp:extent cx="6050280" cy="4537710"/>
                  <wp:effectExtent l="0" t="0" r="0" b="0"/>
                  <wp:docPr id="6"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7"/>
                          <pic:cNvPicPr>
                            <a:picLocks noChangeAspect="1" noChangeArrowheads="1"/>
                          </pic:cNvPicPr>
                        </pic:nvPicPr>
                        <pic:blipFill>
                          <a:blip r:embed="rId7"/>
                          <a:stretch>
                            <a:fillRect/>
                          </a:stretch>
                        </pic:blipFill>
                        <pic:spPr bwMode="auto">
                          <a:xfrm>
                            <a:off x="0" y="0"/>
                            <a:ext cx="6050280" cy="4537710"/>
                          </a:xfrm>
                          <a:prstGeom prst="rect">
                            <a:avLst/>
                          </a:prstGeom>
                          <a:noFill/>
                        </pic:spPr>
                      </pic:pic>
                    </a:graphicData>
                  </a:graphic>
                </wp:inline>
              </w:drawing>
            </w:r>
            <w:r>
              <w:rPr/>
              <w:drawing>
                <wp:inline distT="0" distB="0" distL="0" distR="0">
                  <wp:extent cx="6050280" cy="3674110"/>
                  <wp:effectExtent l="0" t="0" r="0" b="0"/>
                  <wp:docPr id="7" name="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6"/>
                          <pic:cNvPicPr>
                            <a:picLocks noChangeAspect="1" noChangeArrowheads="1"/>
                          </pic:cNvPicPr>
                        </pic:nvPicPr>
                        <pic:blipFill>
                          <a:blip r:embed="rId8"/>
                          <a:srcRect l="0" t="0" r="0" b="19033"/>
                          <a:stretch>
                            <a:fillRect/>
                          </a:stretch>
                        </pic:blipFill>
                        <pic:spPr bwMode="auto">
                          <a:xfrm>
                            <a:off x="0" y="0"/>
                            <a:ext cx="6050280" cy="3674110"/>
                          </a:xfrm>
                          <a:prstGeom prst="rect">
                            <a:avLst/>
                          </a:prstGeom>
                          <a:noFill/>
                        </pic:spPr>
                      </pic:pic>
                    </a:graphicData>
                  </a:graphic>
                </wp:inline>
              </w:drawing>
            </w:r>
            <w:r>
              <w:rPr>
                <w:lang w:val="lt-LT"/>
              </w:rPr>
              <w:fldChar w:fldCharType="begin"/>
            </w:r>
            <w:r>
              <w:rPr>
                <w:lang w:val="lt-LT"/>
              </w:rPr>
              <w:instrText xml:space="preserve"> SEQ Paveikslėlis \* ARABIC </w:instrText>
            </w:r>
            <w:r>
              <w:rPr>
                <w:lang w:val="lt-LT"/>
              </w:rPr>
              <w:fldChar w:fldCharType="separate"/>
            </w:r>
            <w:r>
              <w:rPr>
                <w:lang w:val="lt-LT"/>
              </w:rPr>
              <w:t>10</w:t>
            </w:r>
            <w:r>
              <w:rPr>
                <w:lang w:val="lt-LT"/>
              </w:rPr>
              <w:fldChar w:fldCharType="end"/>
            </w:r>
            <w:r>
              <w:rPr>
                <w:lang w:val="lt-LT"/>
              </w:rPr>
              <w:t xml:space="preserve">, </w:t>
            </w:r>
            <w:r>
              <w:rPr>
                <w:lang w:val="lt-LT"/>
              </w:rPr>
              <w:fldChar w:fldCharType="begin"/>
            </w:r>
            <w:r>
              <w:rPr>
                <w:lang w:val="lt-LT"/>
              </w:rPr>
              <w:instrText xml:space="preserve"> SEQ Paveikslėlis \* ARABIC </w:instrText>
            </w:r>
            <w:r>
              <w:rPr>
                <w:lang w:val="lt-LT"/>
              </w:rPr>
              <w:fldChar w:fldCharType="separate"/>
            </w:r>
            <w:r>
              <w:rPr>
                <w:lang w:val="lt-LT"/>
              </w:rPr>
              <w:t>11</w:t>
            </w:r>
            <w:r>
              <w:rPr>
                <w:lang w:val="lt-LT"/>
              </w:rPr>
              <w:fldChar w:fldCharType="end"/>
            </w:r>
            <w:r>
              <w:rPr>
                <w:lang w:val="lt-LT"/>
              </w:rPr>
              <w:t xml:space="preserve"> pav. Keleivio pusės variklio tvirtinimo taškas. Vaizdas iš galo ir iš priekio. (Nuotraukos analogiškos komplektacijos automobilio)</w:t>
            </w:r>
          </w:p>
        </w:tc>
      </w:tr>
      <w:tr>
        <w:trPr>
          <w:trHeight w:val="13320" w:hRule="atLeast"/>
        </w:trPr>
        <w:tc>
          <w:tcPr>
            <w:tcW w:w="9638" w:type="dxa"/>
            <w:tcBorders/>
          </w:tcPr>
          <w:p>
            <w:pPr>
              <w:pStyle w:val="TableContents"/>
              <w:widowControl w:val="false"/>
              <w:suppressLineNumbers/>
              <w:bidi w:val="0"/>
              <w:jc w:val="start"/>
              <w:rPr>
                <w:lang w:val="lt-LT"/>
              </w:rPr>
            </w:pPr>
            <w:r>
              <w:rPr>
                <w:lang w:val="lt-LT"/>
              </w:rPr>
              <w:fldChar w:fldCharType="begin"/>
            </w:r>
            <w:r>
              <w:rPr>
                <w:lang w:val="lt-LT"/>
              </w:rPr>
              <w:instrText xml:space="preserve"> SEQ Paveikslėlis \* ARABIC </w:instrText>
            </w:r>
            <w:r>
              <w:rPr>
                <w:lang w:val="lt-LT"/>
              </w:rPr>
              <w:fldChar w:fldCharType="separate"/>
            </w:r>
            <w:r>
              <w:rPr>
                <w:lang w:val="lt-LT"/>
              </w:rPr>
              <w:t>12</w:t>
            </w:r>
            <w:r>
              <w:rPr>
                <w:lang w:val="lt-LT"/>
              </w:rPr>
              <w:fldChar w:fldCharType="end"/>
            </w:r>
            <w:r>
              <w:rPr>
                <w:lang w:val="lt-LT"/>
              </w:rPr>
              <w:t xml:space="preserve">, </w:t>
            </w:r>
            <w:r>
              <w:rPr>
                <w:lang w:val="lt-LT"/>
              </w:rPr>
              <w:fldChar w:fldCharType="begin"/>
            </w:r>
            <w:r>
              <w:rPr>
                <w:lang w:val="lt-LT"/>
              </w:rPr>
              <w:instrText xml:space="preserve"> SEQ Paveikslėlis \* ARABIC </w:instrText>
            </w:r>
            <w:r>
              <w:rPr>
                <w:lang w:val="lt-LT"/>
              </w:rPr>
              <w:fldChar w:fldCharType="separate"/>
            </w:r>
            <w:r>
              <w:rPr>
                <w:lang w:val="lt-LT"/>
              </w:rPr>
              <w:t>13</w:t>
            </w:r>
            <w:r>
              <w:rPr>
                <w:lang w:val="lt-LT"/>
              </w:rPr>
              <w:fldChar w:fldCharType="end"/>
            </w:r>
            <w:r>
              <w:rPr>
                <w:lang w:val="lt-LT"/>
              </w:rPr>
              <w:t xml:space="preserve">, </w:t>
            </w:r>
            <w:r>
              <w:rPr>
                <w:lang w:val="lt-LT"/>
              </w:rPr>
              <w:fldChar w:fldCharType="begin"/>
            </w:r>
            <w:r>
              <w:rPr>
                <w:lang w:val="lt-LT"/>
              </w:rPr>
              <w:instrText xml:space="preserve"> SEQ Paveikslėlis \* ARABIC </w:instrText>
            </w:r>
            <w:r>
              <w:rPr>
                <w:lang w:val="lt-LT"/>
              </w:rPr>
              <w:fldChar w:fldCharType="separate"/>
            </w:r>
            <w:r>
              <w:rPr>
                <w:lang w:val="lt-LT"/>
              </w:rPr>
              <w:t>14</w:t>
            </w:r>
            <w:r>
              <w:rPr>
                <w:lang w:val="lt-LT"/>
              </w:rPr>
              <w:fldChar w:fldCharType="end"/>
            </w:r>
            <w:r>
              <w:rPr>
                <w:lang w:val="lt-LT"/>
              </w:rPr>
              <w:t xml:space="preserve">, </w:t>
            </w:r>
            <w:r>
              <w:rPr>
                <w:lang w:val="lt-LT"/>
              </w:rPr>
              <w:fldChar w:fldCharType="begin"/>
            </w:r>
            <w:r>
              <w:rPr>
                <w:lang w:val="lt-LT"/>
              </w:rPr>
              <w:instrText xml:space="preserve"> SEQ Paveikslėlis \* ARABIC </w:instrText>
            </w:r>
            <w:r>
              <w:rPr>
                <w:lang w:val="lt-LT"/>
              </w:rPr>
              <w:fldChar w:fldCharType="separate"/>
            </w:r>
            <w:r>
              <w:rPr>
                <w:lang w:val="lt-LT"/>
              </w:rPr>
              <w:t>15</w:t>
            </w:r>
            <w:r>
              <w:rPr>
                <w:lang w:val="lt-LT"/>
              </w:rPr>
              <w:fldChar w:fldCharType="end"/>
            </w:r>
            <w:r>
              <w:rPr>
                <w:lang w:val="lt-LT"/>
              </w:rPr>
              <w:t xml:space="preserve"> pav. Automobilio nuotraukos. (priekis, vairuotojo šonas, galas, keleivio šonas)</w:t>
            </w:r>
          </w:p>
        </w:tc>
      </w:tr>
    </w:tbl>
    <w:p>
      <w:pPr>
        <w:pStyle w:val="Heading1"/>
        <w:numPr>
          <w:ilvl w:val="0"/>
          <w:numId w:val="2"/>
        </w:numPr>
        <w:spacing w:before="0" w:after="120"/>
        <w:ind w:hanging="0" w:start="0"/>
        <w:rPr>
          <w:lang w:val="lt-LT"/>
        </w:rPr>
      </w:pPr>
      <w:bookmarkStart w:id="2" w:name="__RefHeading___Toc629_3585910784"/>
      <w:bookmarkEnd w:id="2"/>
      <w:r>
        <w:rPr>
          <w:lang w:val="lt-LT"/>
        </w:rPr>
        <w:t>Transporto priemonės perdirbimas</w:t>
      </w:r>
    </w:p>
    <w:p>
      <w:pPr>
        <w:pStyle w:val="Heading1"/>
        <w:numPr>
          <w:ilvl w:val="1"/>
          <w:numId w:val="2"/>
        </w:numPr>
        <w:ind w:hanging="0" w:start="0"/>
        <w:rPr>
          <w:lang w:val="lt-LT"/>
        </w:rPr>
      </w:pPr>
      <w:bookmarkStart w:id="3" w:name="__RefHeading___Toc631_3585910784"/>
      <w:bookmarkEnd w:id="3"/>
      <w:r>
        <w:rPr>
          <w:lang w:val="lt-LT"/>
        </w:rPr>
        <w:t>Atliktas perdirbimas</w:t>
      </w:r>
    </w:p>
    <w:p>
      <w:pPr>
        <w:pStyle w:val="BodyText"/>
        <w:rPr>
          <w:lang w:val="lt-LT"/>
        </w:rPr>
      </w:pPr>
      <w:r>
        <w:rPr>
          <w:lang w:val="lt-LT"/>
        </w:rPr>
        <w:t>Pakeistas variklis iš 1588cc 37kW kodu CS į 1896cc 66kW kodu AHU. Abu varikliai varomi dyzelinu.</w:t>
      </w:r>
    </w:p>
    <w:p>
      <w:pPr>
        <w:pStyle w:val="Heading1"/>
        <w:keepNext w:val="true"/>
        <w:widowControl/>
        <w:numPr>
          <w:ilvl w:val="1"/>
          <w:numId w:val="2"/>
        </w:numPr>
        <w:suppressAutoHyphens w:val="true"/>
        <w:bidi w:val="0"/>
        <w:spacing w:before="240" w:after="120"/>
        <w:ind w:hanging="0" w:start="0" w:end="0"/>
        <w:jc w:val="start"/>
        <w:rPr>
          <w:lang w:val="lt-LT"/>
        </w:rPr>
      </w:pPr>
      <w:bookmarkStart w:id="4" w:name="__RefHeading___Toc4892_677914383"/>
      <w:bookmarkEnd w:id="4"/>
      <w:r>
        <w:rPr>
          <w:lang w:val="lt-LT"/>
        </w:rPr>
        <w:t>Perdirbimo įtaka automobilio sistemų veikimui</w:t>
      </w:r>
    </w:p>
    <w:p>
      <w:pPr>
        <w:pStyle w:val="Heading1"/>
        <w:keepNext w:val="true"/>
        <w:widowControl/>
        <w:numPr>
          <w:ilvl w:val="2"/>
          <w:numId w:val="2"/>
        </w:numPr>
        <w:suppressAutoHyphens w:val="true"/>
        <w:bidi w:val="0"/>
        <w:spacing w:before="240" w:after="120"/>
        <w:ind w:hanging="0" w:start="0" w:end="0"/>
        <w:jc w:val="start"/>
        <w:rPr>
          <w:lang w:val="lt-LT"/>
        </w:rPr>
      </w:pPr>
      <w:bookmarkStart w:id="5" w:name="__RefHeading___Toc1066_677914383"/>
      <w:bookmarkEnd w:id="5"/>
      <w:r>
        <w:rPr>
          <w:lang w:val="lt-LT"/>
        </w:rPr>
        <w:t>Vairavimo sistema</w:t>
      </w:r>
    </w:p>
    <w:p>
      <w:pPr>
        <w:pStyle w:val="BodyText"/>
        <w:rPr>
          <w:lang w:val="lt-LT"/>
        </w:rPr>
      </w:pPr>
      <w:r>
        <w:rPr>
          <w:lang w:val="lt-LT"/>
        </w:rPr>
        <w:t>Perdirbimas neturi įtakos šios sistemos veikimui.</w:t>
      </w:r>
    </w:p>
    <w:p>
      <w:pPr>
        <w:pStyle w:val="Heading1"/>
        <w:keepNext w:val="true"/>
        <w:widowControl/>
        <w:numPr>
          <w:ilvl w:val="2"/>
          <w:numId w:val="2"/>
        </w:numPr>
        <w:suppressAutoHyphens w:val="true"/>
        <w:bidi w:val="0"/>
        <w:spacing w:before="240" w:after="120"/>
        <w:ind w:hanging="0" w:start="0" w:end="0"/>
        <w:jc w:val="start"/>
        <w:rPr>
          <w:lang w:val="lt-LT"/>
        </w:rPr>
      </w:pPr>
      <w:bookmarkStart w:id="6" w:name="__RefHeading___Toc1068_677914383"/>
      <w:bookmarkEnd w:id="6"/>
      <w:r>
        <w:rPr>
          <w:lang w:val="lt-LT"/>
        </w:rPr>
        <w:t>Stabdžių sistema</w:t>
      </w:r>
    </w:p>
    <w:p>
      <w:pPr>
        <w:pStyle w:val="BodyText"/>
        <w:rPr>
          <w:lang w:val="lt-LT"/>
        </w:rPr>
      </w:pPr>
      <w:r>
        <w:rPr>
          <w:lang w:val="lt-LT"/>
        </w:rPr>
        <w:t xml:space="preserve">Perdirbimas neturi įtakos šios sistemos veikimui. Remiantis </w:t>
      </w:r>
      <w:r>
        <w:rPr>
          <w:lang w:val="lt-LT"/>
        </w:rPr>
        <w:fldChar w:fldCharType="begin"/>
      </w:r>
      <w:r>
        <w:rPr>
          <w:lang w:val="lt-LT"/>
        </w:rPr>
        <w:instrText xml:space="preserve"> REF __RefHeading___Toc643_3585910784 \n \n \h </w:instrText>
      </w:r>
      <w:r>
        <w:rPr>
          <w:lang w:val="lt-LT"/>
        </w:rPr>
        <w:fldChar w:fldCharType="separate"/>
      </w:r>
      <w:r>
        <w:rPr>
          <w:lang w:val="lt-LT"/>
        </w:rPr>
        <w:t>2.3.6</w:t>
      </w:r>
      <w:r>
        <w:rPr>
          <w:lang w:val="lt-LT"/>
        </w:rPr>
        <w:fldChar w:fldCharType="end"/>
      </w:r>
      <w:r>
        <w:rPr>
          <w:lang w:val="lt-LT"/>
        </w:rPr>
        <w:t xml:space="preserve"> punkte aprašytais argumentais, efektyvumo užtenka.</w:t>
      </w:r>
    </w:p>
    <w:p>
      <w:pPr>
        <w:pStyle w:val="Heading1"/>
        <w:keepNext w:val="true"/>
        <w:widowControl/>
        <w:numPr>
          <w:ilvl w:val="2"/>
          <w:numId w:val="2"/>
        </w:numPr>
        <w:suppressAutoHyphens w:val="true"/>
        <w:bidi w:val="0"/>
        <w:spacing w:before="240" w:after="120"/>
        <w:ind w:hanging="0" w:start="0" w:end="0"/>
        <w:jc w:val="start"/>
        <w:rPr>
          <w:lang w:val="lt-LT"/>
        </w:rPr>
      </w:pPr>
      <w:bookmarkStart w:id="7" w:name="__RefHeading___Toc1070_677914383"/>
      <w:bookmarkEnd w:id="7"/>
      <w:r>
        <w:rPr>
          <w:lang w:val="lt-LT"/>
        </w:rPr>
        <w:t>Rėmas, kėbulas</w:t>
      </w:r>
    </w:p>
    <w:p>
      <w:pPr>
        <w:pStyle w:val="BodyText"/>
        <w:rPr>
          <w:lang w:val="lt-LT"/>
        </w:rPr>
      </w:pPr>
      <w:r>
        <w:rPr>
          <w:lang w:val="lt-LT"/>
        </w:rPr>
        <w:t>Perdirbimas neturi įtakos šios sistemos veikimui.</w:t>
      </w:r>
    </w:p>
    <w:p>
      <w:pPr>
        <w:pStyle w:val="Heading1"/>
        <w:keepNext w:val="true"/>
        <w:widowControl/>
        <w:numPr>
          <w:ilvl w:val="2"/>
          <w:numId w:val="2"/>
        </w:numPr>
        <w:suppressAutoHyphens w:val="true"/>
        <w:bidi w:val="0"/>
        <w:spacing w:before="240" w:after="120"/>
        <w:ind w:hanging="0" w:start="0" w:end="0"/>
        <w:jc w:val="start"/>
        <w:rPr>
          <w:lang w:val="lt-LT"/>
        </w:rPr>
      </w:pPr>
      <w:bookmarkStart w:id="8" w:name="__RefHeading___Toc1072_677914383"/>
      <w:bookmarkEnd w:id="8"/>
      <w:r>
        <w:rPr>
          <w:lang w:val="lt-LT"/>
        </w:rPr>
        <w:t>Ašys</w:t>
      </w:r>
    </w:p>
    <w:p>
      <w:pPr>
        <w:pStyle w:val="BodyText"/>
        <w:rPr>
          <w:lang w:val="lt-LT"/>
        </w:rPr>
      </w:pPr>
      <w:r>
        <w:rPr>
          <w:lang w:val="lt-LT"/>
        </w:rPr>
        <w:t>Perdirbimas neturi įtakos šios sistemos veikimui.</w:t>
      </w:r>
    </w:p>
    <w:p>
      <w:pPr>
        <w:pStyle w:val="Heading1"/>
        <w:keepNext w:val="true"/>
        <w:widowControl/>
        <w:numPr>
          <w:ilvl w:val="2"/>
          <w:numId w:val="2"/>
        </w:numPr>
        <w:suppressAutoHyphens w:val="true"/>
        <w:bidi w:val="0"/>
        <w:spacing w:before="240" w:after="120"/>
        <w:ind w:hanging="0" w:start="0" w:end="0"/>
        <w:jc w:val="start"/>
        <w:rPr>
          <w:lang w:val="lt-LT"/>
        </w:rPr>
      </w:pPr>
      <w:bookmarkStart w:id="9" w:name="__RefHeading___Toc1074_677914383"/>
      <w:bookmarkEnd w:id="9"/>
      <w:r>
        <w:rPr>
          <w:lang w:val="lt-LT"/>
        </w:rPr>
        <w:t>Pakabos elementai</w:t>
      </w:r>
    </w:p>
    <w:p>
      <w:pPr>
        <w:pStyle w:val="BodyText"/>
        <w:rPr>
          <w:lang w:val="lt-LT"/>
        </w:rPr>
      </w:pPr>
      <w:r>
        <w:rPr>
          <w:lang w:val="lt-LT"/>
        </w:rPr>
        <w:t>Perdirbimas neturi įtakos šios sistemos veikimui.</w:t>
      </w:r>
    </w:p>
    <w:p>
      <w:pPr>
        <w:pStyle w:val="Heading1"/>
        <w:keepNext w:val="true"/>
        <w:widowControl/>
        <w:numPr>
          <w:ilvl w:val="2"/>
          <w:numId w:val="2"/>
        </w:numPr>
        <w:suppressAutoHyphens w:val="true"/>
        <w:bidi w:val="0"/>
        <w:spacing w:before="240" w:after="120"/>
        <w:ind w:hanging="0" w:start="0" w:end="0"/>
        <w:jc w:val="start"/>
        <w:rPr>
          <w:lang w:val="lt-LT"/>
        </w:rPr>
      </w:pPr>
      <w:bookmarkStart w:id="10" w:name="__RefHeading___Toc1076_677914383"/>
      <w:bookmarkEnd w:id="10"/>
      <w:r>
        <w:rPr>
          <w:lang w:val="lt-LT"/>
        </w:rPr>
        <w:t>Variklis</w:t>
      </w:r>
    </w:p>
    <w:p>
      <w:pPr>
        <w:pStyle w:val="BodyText"/>
        <w:rPr>
          <w:lang w:val="lt-LT"/>
        </w:rPr>
      </w:pPr>
      <w:r>
        <w:rPr>
          <w:lang w:val="lt-LT"/>
        </w:rPr>
        <w:t xml:space="preserve">Detalus modifikacijos aprašymas </w:t>
      </w:r>
      <w:r>
        <w:rPr>
          <w:lang w:val="lt-LT"/>
        </w:rPr>
        <w:fldChar w:fldCharType="begin"/>
      </w:r>
      <w:r>
        <w:rPr>
          <w:lang w:val="lt-LT"/>
        </w:rPr>
        <w:instrText xml:space="preserve"> REF __RefHeading___Toc635_3585910784 \n \n \h </w:instrText>
      </w:r>
      <w:r>
        <w:rPr>
          <w:lang w:val="lt-LT"/>
        </w:rPr>
        <w:fldChar w:fldCharType="separate"/>
      </w:r>
      <w:r>
        <w:rPr>
          <w:lang w:val="lt-LT"/>
        </w:rPr>
        <w:t>2.3.1</w:t>
      </w:r>
      <w:r>
        <w:rPr>
          <w:lang w:val="lt-LT"/>
        </w:rPr>
        <w:fldChar w:fldCharType="end"/>
      </w:r>
      <w:r>
        <w:rPr>
          <w:lang w:val="lt-LT"/>
        </w:rPr>
        <w:t xml:space="preserve">, </w:t>
      </w:r>
      <w:r>
        <w:rPr>
          <w:lang w:val="lt-LT"/>
        </w:rPr>
        <w:fldChar w:fldCharType="begin"/>
      </w:r>
      <w:r>
        <w:rPr>
          <w:lang w:val="lt-LT"/>
        </w:rPr>
        <w:instrText xml:space="preserve"> REF __RefHeading___Toc711_677914383 \n \n \h </w:instrText>
      </w:r>
      <w:r>
        <w:rPr>
          <w:lang w:val="lt-LT"/>
        </w:rPr>
        <w:fldChar w:fldCharType="separate"/>
      </w:r>
      <w:r>
        <w:rPr>
          <w:lang w:val="lt-LT"/>
        </w:rPr>
        <w:t>2.3.2</w:t>
      </w:r>
      <w:r>
        <w:rPr>
          <w:lang w:val="lt-LT"/>
        </w:rPr>
        <w:fldChar w:fldCharType="end"/>
      </w:r>
      <w:r>
        <w:rPr>
          <w:lang w:val="lt-LT"/>
        </w:rPr>
        <w:t xml:space="preserve"> punktuose.</w:t>
      </w:r>
    </w:p>
    <w:p>
      <w:pPr>
        <w:pStyle w:val="Heading1"/>
        <w:keepNext w:val="true"/>
        <w:widowControl/>
        <w:numPr>
          <w:ilvl w:val="2"/>
          <w:numId w:val="2"/>
        </w:numPr>
        <w:suppressAutoHyphens w:val="true"/>
        <w:bidi w:val="0"/>
        <w:spacing w:before="240" w:after="120"/>
        <w:ind w:hanging="0" w:start="0" w:end="0"/>
        <w:jc w:val="start"/>
        <w:rPr>
          <w:lang w:val="lt-LT"/>
        </w:rPr>
      </w:pPr>
      <w:bookmarkStart w:id="11" w:name="__RefHeading___Toc1078_677914383"/>
      <w:bookmarkEnd w:id="11"/>
      <w:r>
        <w:rPr>
          <w:lang w:val="lt-LT"/>
        </w:rPr>
        <w:t>Transmisija</w:t>
      </w:r>
    </w:p>
    <w:p>
      <w:pPr>
        <w:pStyle w:val="BodyText"/>
        <w:rPr>
          <w:lang w:val="lt-LT"/>
        </w:rPr>
      </w:pPr>
      <w:r>
        <w:rPr>
          <w:lang w:val="lt-LT"/>
        </w:rPr>
        <w:t xml:space="preserve">Perdirbimas neturi įtakos šios sistemos veikimui. Naudojama gamyklinė greičių dėžė, nes tvirtinimo taškai ant variklių sutampa (žr. priedą </w:t>
      </w:r>
      <w:r>
        <w:rPr>
          <w:lang w:val="lt-LT"/>
        </w:rPr>
        <w:fldChar w:fldCharType="begin"/>
      </w:r>
      <w:r>
        <w:rPr>
          <w:lang w:val="lt-LT"/>
        </w:rPr>
        <w:instrText xml:space="preserve"> REF __RefHeading___Toc1080_677914383 \n \n \h </w:instrText>
      </w:r>
      <w:r>
        <w:rPr>
          <w:lang w:val="lt-LT"/>
        </w:rPr>
        <w:fldChar w:fldCharType="separate"/>
      </w:r>
      <w:r>
        <w:rPr>
          <w:lang w:val="lt-LT"/>
        </w:rPr>
        <w:t>4.3</w:t>
      </w:r>
      <w:r>
        <w:rPr>
          <w:lang w:val="lt-LT"/>
        </w:rPr>
        <w:fldChar w:fldCharType="end"/>
      </w:r>
      <w:r>
        <w:rPr>
          <w:lang w:val="lt-LT"/>
        </w:rPr>
        <w:t>)</w:t>
      </w:r>
    </w:p>
    <w:p>
      <w:pPr>
        <w:pStyle w:val="Heading1"/>
        <w:widowControl/>
        <w:numPr>
          <w:ilvl w:val="0"/>
          <w:numId w:val="0"/>
        </w:numPr>
        <w:suppressAutoHyphens w:val="true"/>
        <w:ind w:hanging="0" w:start="0"/>
        <w:jc w:val="start"/>
        <w:rPr>
          <w:lang w:val="lt-LT"/>
        </w:rPr>
      </w:pPr>
      <w:r>
        <w:rPr>
          <w:lang w:val="lt-LT"/>
        </w:rPr>
      </w:r>
      <w:r>
        <w:br w:type="page"/>
      </w:r>
    </w:p>
    <w:p>
      <w:pPr>
        <w:pStyle w:val="Heading1"/>
        <w:numPr>
          <w:ilvl w:val="1"/>
          <w:numId w:val="2"/>
        </w:numPr>
        <w:spacing w:before="0" w:after="120"/>
        <w:ind w:hanging="0" w:start="0"/>
        <w:rPr>
          <w:lang w:val="lt-LT"/>
        </w:rPr>
      </w:pPr>
      <w:bookmarkStart w:id="12" w:name="__RefHeading___Toc633_3585910784"/>
      <w:bookmarkEnd w:id="12"/>
      <w:r>
        <w:rPr>
          <w:lang w:val="lt-LT"/>
        </w:rPr>
        <w:t>Detalus perdirbimo aprašymas</w:t>
      </w:r>
    </w:p>
    <w:p>
      <w:pPr>
        <w:pStyle w:val="Heading1"/>
        <w:numPr>
          <w:ilvl w:val="2"/>
          <w:numId w:val="2"/>
        </w:numPr>
        <w:ind w:hanging="0" w:start="0"/>
        <w:rPr>
          <w:lang w:val="lt-LT"/>
        </w:rPr>
      </w:pPr>
      <w:bookmarkStart w:id="13" w:name="__RefHeading___Toc635_3585910784"/>
      <w:bookmarkEnd w:id="13"/>
      <w:r>
        <w:rPr>
          <w:lang w:val="lt-LT"/>
        </w:rPr>
        <w:t>Varikliai</w:t>
      </w:r>
    </w:p>
    <w:p>
      <w:pPr>
        <w:pStyle w:val="BodyText"/>
        <w:rPr>
          <w:lang w:val="lt-LT"/>
        </w:rPr>
      </w:pPr>
      <w:r>
        <w:rPr>
          <w:lang w:val="lt-LT"/>
        </w:rPr>
        <w:t xml:space="preserve">Seno variklio kodas nežinomas. Registracijos dokumentuose nurodyti parametrai yra 1570cc darbinis tūris ir 51kW, bet būtent tokios kubatūros variklis neegzistuoja. Techninės ekspertizės metu ekspertas informavo, kad pagal VIN kodą gamykliškai buvo sumontuotas 1.6l 37kW variklis kodu CS (1588cc). Naujas variklis yra 1.9l 66kW su kodu AHU (1896cc). Abu varikliai yra yra labai panašūs: tiek pagalvių, tiek greičių dėžės tvirtinimo taškai sutampa (žr. priedus </w:t>
      </w:r>
      <w:r>
        <w:rPr>
          <w:lang w:val="lt-LT"/>
        </w:rPr>
        <w:fldChar w:fldCharType="begin"/>
      </w:r>
      <w:r>
        <w:rPr>
          <w:lang w:val="lt-LT"/>
        </w:rPr>
        <w:instrText xml:space="preserve"> REF __RefHeading___Toc1080_677914383 \n \n \h </w:instrText>
      </w:r>
      <w:r>
        <w:rPr>
          <w:lang w:val="lt-LT"/>
        </w:rPr>
        <w:fldChar w:fldCharType="separate"/>
      </w:r>
      <w:r>
        <w:rPr>
          <w:lang w:val="lt-LT"/>
        </w:rPr>
        <w:t>4.3</w:t>
      </w:r>
      <w:r>
        <w:rPr>
          <w:lang w:val="lt-LT"/>
        </w:rPr>
        <w:fldChar w:fldCharType="end"/>
      </w:r>
      <w:r>
        <w:rPr>
          <w:lang w:val="lt-LT"/>
        </w:rPr>
        <w:t xml:space="preserve">, </w:t>
      </w:r>
      <w:r>
        <w:rPr>
          <w:lang w:val="lt-LT"/>
        </w:rPr>
        <w:fldChar w:fldCharType="begin"/>
      </w:r>
      <w:r>
        <w:rPr>
          <w:lang w:val="lt-LT"/>
        </w:rPr>
        <w:instrText xml:space="preserve"> REF __RefHeading___Toc1082_677914383 \n \n \h </w:instrText>
      </w:r>
      <w:r>
        <w:rPr>
          <w:lang w:val="lt-LT"/>
        </w:rPr>
        <w:fldChar w:fldCharType="separate"/>
      </w:r>
      <w:r>
        <w:rPr>
          <w:lang w:val="lt-LT"/>
        </w:rPr>
        <w:t>4.4</w:t>
      </w:r>
      <w:r>
        <w:rPr>
          <w:lang w:val="lt-LT"/>
        </w:rPr>
        <w:fldChar w:fldCharType="end"/>
      </w:r>
      <w:r>
        <w:rPr>
          <w:lang w:val="lt-LT"/>
        </w:rPr>
        <w:t xml:space="preserve">, </w:t>
      </w:r>
      <w:r>
        <w:rPr>
          <w:lang w:val="lt-LT"/>
        </w:rPr>
        <w:fldChar w:fldCharType="begin"/>
      </w:r>
      <w:r>
        <w:rPr>
          <w:lang w:val="lt-LT"/>
        </w:rPr>
        <w:instrText xml:space="preserve"> REF __RefHeading___Toc1084_677914383 \n \n \h </w:instrText>
      </w:r>
      <w:r>
        <w:rPr>
          <w:lang w:val="lt-LT"/>
        </w:rPr>
        <w:fldChar w:fldCharType="separate"/>
      </w:r>
      <w:r>
        <w:rPr>
          <w:lang w:val="lt-LT"/>
        </w:rPr>
        <w:t>4.5</w:t>
      </w:r>
      <w:r>
        <w:rPr>
          <w:lang w:val="lt-LT"/>
        </w:rPr>
        <w:fldChar w:fldCharType="end"/>
      </w:r>
      <w:r>
        <w:rPr>
          <w:lang w:val="lt-LT"/>
        </w:rPr>
        <w:t xml:space="preserve"> – tvirtinimo taškų brėžiniai, kurie atitinka ir CS, ir AHU variklių blokus). Todėl sumontavimui modifikacijų daryti nereikia, perkeliamos tik specifinės detalės. Naudojami tokie patys tvirtinimo varžtai, pernaudojami pagalvių kronšteinai, variklio pagalvės, greičių dėžė, greičių dėžės varžtai, starteris ir kt.</w:t>
      </w:r>
    </w:p>
    <w:p>
      <w:pPr>
        <w:pStyle w:val="Heading1"/>
        <w:keepNext w:val="true"/>
        <w:widowControl/>
        <w:numPr>
          <w:ilvl w:val="2"/>
          <w:numId w:val="2"/>
        </w:numPr>
        <w:suppressAutoHyphens w:val="true"/>
        <w:bidi w:val="0"/>
        <w:spacing w:before="240" w:after="120"/>
        <w:ind w:hanging="1814" w:start="1814" w:end="0"/>
        <w:jc w:val="start"/>
        <w:rPr>
          <w:lang w:val="lt-LT"/>
        </w:rPr>
      </w:pPr>
      <w:bookmarkStart w:id="14" w:name="__RefHeading___Toc711_677914383"/>
      <w:bookmarkEnd w:id="14"/>
      <w:r>
        <w:rPr>
          <w:lang w:val="lt-LT"/>
        </w:rPr>
        <w:t>Variklio elektros sistema</w:t>
      </w:r>
    </w:p>
    <w:p>
      <w:pPr>
        <w:pStyle w:val="BodyText"/>
        <w:rPr>
          <w:lang w:val="lt-LT"/>
        </w:rPr>
      </w:pPr>
      <w:r>
        <w:rPr>
          <w:lang w:val="lt-LT"/>
        </w:rPr>
        <w:t xml:space="preserve">Abiejų variklių darbas valdomas Bosch VE tipo įpurškimo siurbliais. Esminis skirtumas, kad AHU siurblys įpurškiamo kuro kiekiui reguliuoti naudoja elektros motorą, o CS atveju tai atliekama mechaniškai. </w:t>
      </w:r>
    </w:p>
    <w:tbl>
      <w:tblPr>
        <w:tblW w:w="5000" w:type="pct"/>
        <w:jc w:val="start"/>
        <w:tblInd w:w="-5" w:type="dxa"/>
        <w:tblLayout w:type="fixed"/>
        <w:tblCellMar>
          <w:top w:w="55" w:type="dxa"/>
          <w:start w:w="55" w:type="dxa"/>
          <w:bottom w:w="55" w:type="dxa"/>
          <w:end w:w="55" w:type="dxa"/>
        </w:tblCellMar>
      </w:tblPr>
      <w:tblGrid>
        <w:gridCol w:w="4818"/>
        <w:gridCol w:w="4820"/>
      </w:tblGrid>
      <w:tr>
        <w:trPr/>
        <w:tc>
          <w:tcPr>
            <w:tcW w:w="4818" w:type="dxa"/>
            <w:tcBorders>
              <w:top w:val="single" w:sz="4" w:space="0" w:color="000000"/>
              <w:start w:val="single" w:sz="4" w:space="0" w:color="000000"/>
              <w:bottom w:val="single" w:sz="4" w:space="0" w:color="000000"/>
            </w:tcBorders>
          </w:tcPr>
          <w:p>
            <w:pPr>
              <w:pStyle w:val="TableContents"/>
              <w:rPr/>
            </w:pPr>
            <w:r>
              <w:rPr/>
              <w:drawing>
                <wp:anchor distT="0" distB="0" distL="0" distR="0" simplePos="0" relativeHeight="18" behindDoc="0" locked="0" layoutInCell="1" allowOverlap="1">
                  <wp:simplePos x="0" y="0"/>
                  <wp:positionH relativeFrom="column">
                    <wp:align>center</wp:align>
                  </wp:positionH>
                  <wp:positionV relativeFrom="paragraph">
                    <wp:posOffset>635</wp:posOffset>
                  </wp:positionV>
                  <wp:extent cx="2990215" cy="2317115"/>
                  <wp:effectExtent l="0" t="0" r="0" b="0"/>
                  <wp:wrapTopAndBottom/>
                  <wp:docPr id="8" name="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5"/>
                          <pic:cNvPicPr>
                            <a:picLocks noChangeAspect="1" noChangeArrowheads="1"/>
                          </pic:cNvPicPr>
                        </pic:nvPicPr>
                        <pic:blipFill>
                          <a:blip r:embed="rId9"/>
                          <a:stretch>
                            <a:fillRect/>
                          </a:stretch>
                        </pic:blipFill>
                        <pic:spPr bwMode="auto">
                          <a:xfrm>
                            <a:off x="0" y="0"/>
                            <a:ext cx="2990215" cy="2317115"/>
                          </a:xfrm>
                          <a:prstGeom prst="rect">
                            <a:avLst/>
                          </a:prstGeom>
                          <a:noFill/>
                        </pic:spPr>
                      </pic:pic>
                    </a:graphicData>
                  </a:graphic>
                </wp:anchor>
              </w:drawing>
            </w:r>
          </w:p>
        </w:tc>
        <w:tc>
          <w:tcPr>
            <w:tcW w:w="4820" w:type="dxa"/>
            <w:tcBorders>
              <w:top w:val="single" w:sz="4" w:space="0" w:color="000000"/>
              <w:start w:val="single" w:sz="4" w:space="0" w:color="000000"/>
              <w:bottom w:val="single" w:sz="4" w:space="0" w:color="000000"/>
              <w:end w:val="single" w:sz="4" w:space="0" w:color="000000"/>
            </w:tcBorders>
          </w:tcPr>
          <w:p>
            <w:pPr>
              <w:pStyle w:val="TableContents"/>
              <w:rPr/>
            </w:pPr>
            <w:r>
              <w:rPr/>
              <w:drawing>
                <wp:anchor distT="0" distB="0" distL="0" distR="0" simplePos="0" relativeHeight="19" behindDoc="0" locked="0" layoutInCell="1" allowOverlap="1">
                  <wp:simplePos x="0" y="0"/>
                  <wp:positionH relativeFrom="column">
                    <wp:align>center</wp:align>
                  </wp:positionH>
                  <wp:positionV relativeFrom="paragraph">
                    <wp:posOffset>635</wp:posOffset>
                  </wp:positionV>
                  <wp:extent cx="2423160" cy="2790825"/>
                  <wp:effectExtent l="0" t="0" r="0" b="0"/>
                  <wp:wrapTopAndBottom/>
                  <wp:docPr id="9" name="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6"/>
                          <pic:cNvPicPr>
                            <a:picLocks noChangeAspect="1" noChangeArrowheads="1"/>
                          </pic:cNvPicPr>
                        </pic:nvPicPr>
                        <pic:blipFill>
                          <a:blip r:embed="rId10"/>
                          <a:stretch>
                            <a:fillRect/>
                          </a:stretch>
                        </pic:blipFill>
                        <pic:spPr bwMode="auto">
                          <a:xfrm>
                            <a:off x="0" y="0"/>
                            <a:ext cx="2423160" cy="2790825"/>
                          </a:xfrm>
                          <a:prstGeom prst="rect">
                            <a:avLst/>
                          </a:prstGeom>
                          <a:noFill/>
                        </pic:spPr>
                      </pic:pic>
                    </a:graphicData>
                  </a:graphic>
                </wp:anchor>
              </w:drawing>
            </w:r>
          </w:p>
        </w:tc>
      </w:tr>
      <w:tr>
        <w:trPr/>
        <w:tc>
          <w:tcPr>
            <w:tcW w:w="4818" w:type="dxa"/>
            <w:tcBorders>
              <w:start w:val="single" w:sz="4" w:space="0" w:color="000000"/>
              <w:bottom w:val="single" w:sz="4" w:space="0" w:color="000000"/>
            </w:tcBorders>
          </w:tcPr>
          <w:p>
            <w:pPr>
              <w:pStyle w:val="TableContents"/>
              <w:rPr/>
            </w:pPr>
            <w:r>
              <w:rPr/>
              <w:fldChar w:fldCharType="begin"/>
            </w:r>
            <w:r>
              <w:rPr/>
              <w:instrText xml:space="preserve"> SEQ Paveikslėlis \* ARABIC </w:instrText>
            </w:r>
            <w:r>
              <w:rPr/>
              <w:fldChar w:fldCharType="separate"/>
            </w:r>
            <w:r>
              <w:rPr/>
              <w:t>16</w:t>
            </w:r>
            <w:r>
              <w:rPr/>
              <w:fldChar w:fldCharType="end"/>
            </w:r>
            <w:r>
              <w:rPr/>
              <w:t xml:space="preserve"> </w:t>
            </w:r>
            <w:r>
              <w:rPr/>
              <w:t>pav. Elektroninis įpurškimo siurblys</w:t>
            </w:r>
          </w:p>
        </w:tc>
        <w:tc>
          <w:tcPr>
            <w:tcW w:w="4820" w:type="dxa"/>
            <w:tcBorders>
              <w:start w:val="single" w:sz="4" w:space="0" w:color="000000"/>
              <w:bottom w:val="single" w:sz="4" w:space="0" w:color="000000"/>
              <w:end w:val="single" w:sz="4" w:space="0" w:color="000000"/>
            </w:tcBorders>
          </w:tcPr>
          <w:p>
            <w:pPr>
              <w:pStyle w:val="TableContents"/>
              <w:rPr/>
            </w:pPr>
            <w:r>
              <w:rPr/>
              <w:fldChar w:fldCharType="begin"/>
            </w:r>
            <w:r>
              <w:rPr/>
              <w:instrText xml:space="preserve"> SEQ Paveikslėlis \* ARABIC </w:instrText>
            </w:r>
            <w:r>
              <w:rPr/>
              <w:fldChar w:fldCharType="separate"/>
            </w:r>
            <w:r>
              <w:rPr/>
              <w:t>17</w:t>
            </w:r>
            <w:r>
              <w:rPr/>
              <w:fldChar w:fldCharType="end"/>
            </w:r>
            <w:r>
              <w:rPr/>
              <w:t xml:space="preserve"> </w:t>
            </w:r>
            <w:r>
              <w:rPr/>
              <w:t>pav. Mechaninis įpurškimo siurblys</w:t>
            </w:r>
          </w:p>
        </w:tc>
      </w:tr>
    </w:tbl>
    <w:p>
      <w:pPr>
        <w:pStyle w:val="BodyText"/>
        <w:rPr>
          <w:lang w:val="lt-LT"/>
        </w:rPr>
      </w:pPr>
      <w:r>
        <w:rPr>
          <w:lang w:val="lt-LT"/>
        </w:rPr>
      </w:r>
    </w:p>
    <w:p>
      <w:pPr>
        <w:pStyle w:val="BodyText"/>
        <w:rPr>
          <w:lang w:val="lt-LT"/>
        </w:rPr>
      </w:pPr>
      <w:r>
        <w:rPr>
          <w:lang w:val="lt-LT"/>
        </w:rPr>
        <w:t>Siekiant perdirbimo nekomplikuoti, skelbimuose buvo rastas ir sumontuotas su AHU suderinamas mechaninis siurblys. Mechaninis įpurškimo siurblys leidžia nemontuoti variklio kompiuterio ir visų jam reikalingų daviklių ir tokiu būdu supaprastina perdirbimo procesą.</w:t>
      </w:r>
    </w:p>
    <w:p>
      <w:pPr>
        <w:pStyle w:val="Heading1"/>
        <w:widowControl/>
        <w:numPr>
          <w:ilvl w:val="0"/>
          <w:numId w:val="0"/>
        </w:numPr>
        <w:suppressAutoHyphens w:val="true"/>
        <w:ind w:hanging="0" w:start="0"/>
        <w:jc w:val="start"/>
        <w:rPr>
          <w:lang w:val="lt-LT"/>
        </w:rPr>
      </w:pPr>
      <w:r>
        <w:rPr>
          <w:lang w:val="lt-LT"/>
        </w:rPr>
      </w:r>
      <w:r>
        <w:br w:type="page"/>
      </w:r>
    </w:p>
    <w:p>
      <w:pPr>
        <w:pStyle w:val="Heading1"/>
        <w:numPr>
          <w:ilvl w:val="2"/>
          <w:numId w:val="2"/>
        </w:numPr>
        <w:spacing w:before="0" w:after="120"/>
        <w:ind w:hanging="0" w:start="0"/>
        <w:rPr>
          <w:lang w:val="lt-LT"/>
        </w:rPr>
      </w:pPr>
      <w:bookmarkStart w:id="15" w:name="__RefHeading___Toc637_3585910784"/>
      <w:bookmarkEnd w:id="15"/>
      <w:r>
        <w:rPr>
          <w:lang w:val="lt-LT"/>
        </w:rPr>
        <w:t>Emisijos</w:t>
      </w:r>
    </w:p>
    <w:p>
      <w:pPr>
        <w:pStyle w:val="BodyText"/>
        <w:rPr>
          <w:lang w:val="lt-LT"/>
        </w:rPr>
      </w:pPr>
      <w:r>
        <w:rPr>
          <w:lang w:val="lt-LT"/>
        </w:rPr>
        <w:t>CS variklis gamintas nuo 1980m. dar prieš EURO 1 emisijų standarto įsigaliojimą 1992m.</w:t>
      </w:r>
    </w:p>
    <w:p>
      <w:pPr>
        <w:pStyle w:val="BodyText"/>
        <w:rPr>
          <w:lang w:val="lt-LT"/>
        </w:rPr>
      </w:pPr>
      <w:r>
        <w:rPr>
          <w:lang w:val="lt-LT"/>
        </w:rPr>
        <w:t>AHU variklis pradėtas gaminti 1996m. ir yra arti EURO 1 galiojimo pabaigos ir EURO 2 galiojimo pradžios 1997m.</w:t>
      </w:r>
    </w:p>
    <w:p>
      <w:pPr>
        <w:pStyle w:val="BodyText"/>
        <w:rPr>
          <w:lang w:val="lt-LT"/>
        </w:rPr>
      </w:pPr>
      <w:r>
        <w:rPr>
          <w:lang w:val="lt-LT"/>
        </w:rPr>
        <w:t>Atsižvelgiant į tai, kad tarp variklių gamybos pradžios yra 15m., išvada – po modifikacijos emisijų rodikliai nesuprastės.</w:t>
      </w:r>
    </w:p>
    <w:p>
      <w:pPr>
        <w:pStyle w:val="Heading1"/>
        <w:numPr>
          <w:ilvl w:val="2"/>
          <w:numId w:val="2"/>
        </w:numPr>
        <w:ind w:hanging="0" w:start="0"/>
        <w:rPr>
          <w:lang w:val="lt-LT"/>
        </w:rPr>
      </w:pPr>
      <w:bookmarkStart w:id="16" w:name="__RefHeading___Toc2976_3585910784"/>
      <w:bookmarkEnd w:id="16"/>
      <w:r>
        <w:rPr>
          <w:lang w:val="lt-LT"/>
        </w:rPr>
        <w:t>Išmetimo sistema</w:t>
      </w:r>
    </w:p>
    <w:p>
      <w:pPr>
        <w:pStyle w:val="BodyText"/>
        <w:rPr>
          <w:lang w:val="lt-LT"/>
        </w:rPr>
      </w:pPr>
      <w:r>
        <w:rPr>
          <w:lang w:val="lt-LT"/>
        </w:rPr>
        <w:t xml:space="preserve">Išmetimo sistemų palyginimui naudosiu 1997m. Trečios kartos „VW Golf TDI“ (AHU variklis), kurio išmetimo sistema susideda iš dviejų duslintuvo bakelių. „VW Transporter“ išmetimo sistema susideda iš vieno bakelio. </w:t>
      </w:r>
    </w:p>
    <w:tbl>
      <w:tblPr>
        <w:tblStyle w:val="Table1"/>
        <w:tblW w:w="9638" w:type="dxa"/>
        <w:jc w:val="start"/>
        <w:tblInd w:w="0" w:type="dxa"/>
        <w:tblLayout w:type="fixed"/>
        <w:tblCellMar>
          <w:top w:w="100" w:type="dxa"/>
          <w:start w:w="100" w:type="dxa"/>
          <w:bottom w:w="100" w:type="dxa"/>
          <w:end w:w="100" w:type="dxa"/>
        </w:tblCellMar>
        <w:tblLook w:val="0600"/>
      </w:tblPr>
      <w:tblGrid>
        <w:gridCol w:w="4819"/>
        <w:gridCol w:w="4819"/>
      </w:tblGrid>
      <w:tr>
        <w:trPr/>
        <w:tc>
          <w:tcPr>
            <w:tcW w:w="4819" w:type="dxa"/>
            <w:tcBorders>
              <w:top w:val="single" w:sz="8" w:space="0" w:color="000000"/>
              <w:start w:val="single" w:sz="8" w:space="0" w:color="000000"/>
              <w:bottom w:val="single" w:sz="8" w:space="0" w:color="000000"/>
              <w:end w:val="single" w:sz="8" w:space="0" w:color="000000"/>
            </w:tcBorders>
            <w:shd w:fill="auto" w:val="clear"/>
          </w:tcPr>
          <w:p>
            <w:pPr>
              <w:pStyle w:val="TableContents"/>
              <w:rPr>
                <w:lang w:val="lt-LT"/>
              </w:rPr>
            </w:pPr>
            <w:sdt>
              <w:sdtPr>
                <w:tag w:val="goog_rdk_0"/>
                <w:id w:val="72356191"/>
                <w:lock w:val="contentLocked"/>
              </w:sdtPr>
              <w:sdtContent>
                <w:r>
                  <w:rPr/>
                </w:r>
                <w:r>
                  <w:rPr/>
                  <w:drawing>
                    <wp:inline distT="0" distB="0" distL="0" distR="0">
                      <wp:extent cx="2914650" cy="2997200"/>
                      <wp:effectExtent l="0" t="0" r="0" b="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a:picLocks noChangeAspect="1" noChangeArrowheads="1"/>
                              </pic:cNvPicPr>
                            </pic:nvPicPr>
                            <pic:blipFill>
                              <a:blip r:embed="rId11"/>
                              <a:stretch>
                                <a:fillRect/>
                              </a:stretch>
                            </pic:blipFill>
                            <pic:spPr bwMode="auto">
                              <a:xfrm>
                                <a:off x="0" y="0"/>
                                <a:ext cx="2914650" cy="2997200"/>
                              </a:xfrm>
                              <a:prstGeom prst="rect">
                                <a:avLst/>
                              </a:prstGeom>
                              <a:noFill/>
                            </pic:spPr>
                          </pic:pic>
                        </a:graphicData>
                      </a:graphic>
                    </wp:inline>
                  </w:drawing>
                </w:r>
                <w:r>
                  <w:rPr/>
                </w:r>
              </w:sdtContent>
            </w:sdt>
          </w:p>
        </w:tc>
        <w:tc>
          <w:tcPr>
            <w:tcW w:w="4819" w:type="dxa"/>
            <w:tcBorders>
              <w:top w:val="single" w:sz="8" w:space="0" w:color="000000"/>
              <w:start w:val="single" w:sz="8" w:space="0" w:color="000000"/>
              <w:bottom w:val="single" w:sz="8" w:space="0" w:color="000000"/>
              <w:end w:val="single" w:sz="8" w:space="0" w:color="000000"/>
            </w:tcBorders>
            <w:shd w:fill="auto" w:val="clear"/>
          </w:tcPr>
          <w:p>
            <w:pPr>
              <w:pStyle w:val="TableContents"/>
              <w:rPr>
                <w:lang w:val="lt-LT"/>
              </w:rPr>
            </w:pPr>
            <w:r>
              <w:rPr/>
              <w:drawing>
                <wp:inline distT="0" distB="0" distL="0" distR="0">
                  <wp:extent cx="2903855" cy="2258060"/>
                  <wp:effectExtent l="0" t="0" r="0" b="0"/>
                  <wp:docPr id="11"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jpg"/>
                          <pic:cNvPicPr>
                            <a:picLocks noChangeAspect="1" noChangeArrowheads="1"/>
                          </pic:cNvPicPr>
                        </pic:nvPicPr>
                        <pic:blipFill>
                          <a:blip r:embed="rId12"/>
                          <a:stretch>
                            <a:fillRect/>
                          </a:stretch>
                        </pic:blipFill>
                        <pic:spPr bwMode="auto">
                          <a:xfrm>
                            <a:off x="0" y="0"/>
                            <a:ext cx="2903855" cy="2258060"/>
                          </a:xfrm>
                          <a:prstGeom prst="rect">
                            <a:avLst/>
                          </a:prstGeom>
                          <a:noFill/>
                        </pic:spPr>
                      </pic:pic>
                    </a:graphicData>
                  </a:graphic>
                </wp:inline>
              </w:drawing>
            </w:r>
          </w:p>
        </w:tc>
      </w:tr>
      <w:tr>
        <w:trPr/>
        <w:tc>
          <w:tcPr>
            <w:tcW w:w="4819" w:type="dxa"/>
            <w:tcBorders>
              <w:top w:val="single" w:sz="8" w:space="0" w:color="000000"/>
              <w:start w:val="single" w:sz="8" w:space="0" w:color="000000"/>
              <w:bottom w:val="single" w:sz="8" w:space="0" w:color="000000"/>
              <w:end w:val="single" w:sz="8" w:space="0" w:color="000000"/>
            </w:tcBorders>
            <w:shd w:fill="auto" w:val="clear"/>
          </w:tcPr>
          <w:p>
            <w:pPr>
              <w:pStyle w:val="TableContents"/>
              <w:rPr>
                <w:lang w:val="lt-LT"/>
              </w:rPr>
            </w:pPr>
            <w:r>
              <w:rPr>
                <w:lang w:val="lt-LT"/>
              </w:rPr>
              <w:fldChar w:fldCharType="begin"/>
            </w:r>
            <w:r>
              <w:rPr>
                <w:lang w:val="lt-LT"/>
              </w:rPr>
              <w:instrText xml:space="preserve"> SEQ Paveikslėlis \* ARABIC </w:instrText>
            </w:r>
            <w:r>
              <w:rPr>
                <w:lang w:val="lt-LT"/>
              </w:rPr>
              <w:fldChar w:fldCharType="separate"/>
            </w:r>
            <w:r>
              <w:rPr>
                <w:lang w:val="lt-LT"/>
              </w:rPr>
              <w:t>18</w:t>
            </w:r>
            <w:r>
              <w:rPr>
                <w:lang w:val="lt-LT"/>
              </w:rPr>
              <w:fldChar w:fldCharType="end"/>
            </w:r>
            <w:r>
              <w:rPr>
                <w:lang w:val="lt-LT"/>
              </w:rPr>
              <w:t xml:space="preserve"> </w:t>
            </w:r>
            <w:r>
              <w:rPr>
                <w:lang w:val="lt-LT"/>
              </w:rPr>
              <w:t>pav. „VW Transporter“ išmetimo sistemos schema.</w:t>
            </w:r>
          </w:p>
        </w:tc>
        <w:tc>
          <w:tcPr>
            <w:tcW w:w="4819" w:type="dxa"/>
            <w:tcBorders>
              <w:top w:val="single" w:sz="8" w:space="0" w:color="000000"/>
              <w:start w:val="single" w:sz="8" w:space="0" w:color="000000"/>
              <w:bottom w:val="single" w:sz="8" w:space="0" w:color="000000"/>
              <w:end w:val="single" w:sz="8" w:space="0" w:color="000000"/>
            </w:tcBorders>
            <w:shd w:fill="auto" w:val="clear"/>
          </w:tcPr>
          <w:p>
            <w:pPr>
              <w:pStyle w:val="TableContents"/>
              <w:rPr>
                <w:lang w:val="lt-LT"/>
              </w:rPr>
            </w:pPr>
            <w:r>
              <w:rPr>
                <w:lang w:val="lt-LT"/>
              </w:rPr>
              <w:fldChar w:fldCharType="begin"/>
            </w:r>
            <w:r>
              <w:rPr>
                <w:lang w:val="lt-LT"/>
              </w:rPr>
              <w:instrText xml:space="preserve"> SEQ Paveikslėlis \* ARABIC </w:instrText>
            </w:r>
            <w:r>
              <w:rPr>
                <w:lang w:val="lt-LT"/>
              </w:rPr>
              <w:fldChar w:fldCharType="separate"/>
            </w:r>
            <w:r>
              <w:rPr>
                <w:lang w:val="lt-LT"/>
              </w:rPr>
              <w:t>19</w:t>
            </w:r>
            <w:r>
              <w:rPr>
                <w:lang w:val="lt-LT"/>
              </w:rPr>
              <w:fldChar w:fldCharType="end"/>
            </w:r>
            <w:r>
              <w:rPr>
                <w:lang w:val="lt-LT"/>
              </w:rPr>
              <w:t xml:space="preserve"> </w:t>
            </w:r>
            <w:r>
              <w:rPr>
                <w:lang w:val="lt-LT"/>
              </w:rPr>
              <w:t>pav. „VW Golf TDI“ išmetimo sistemos dalys.</w:t>
            </w:r>
          </w:p>
        </w:tc>
      </w:tr>
    </w:tbl>
    <w:p>
      <w:pPr>
        <w:pStyle w:val="BodyText"/>
        <w:rPr>
          <w:lang w:val="lt-LT"/>
        </w:rPr>
      </w:pPr>
      <w:r>
        <w:rPr>
          <w:lang w:val="lt-LT"/>
        </w:rPr>
      </w:r>
    </w:p>
    <w:p>
      <w:pPr>
        <w:pStyle w:val="BodyText"/>
        <w:rPr>
          <w:lang w:val="lt-LT"/>
        </w:rPr>
      </w:pPr>
      <w:r>
        <w:rPr>
          <w:lang w:val="lt-LT"/>
        </w:rPr>
        <w:t>Klausant ausimi dirbančio variklio garso lygis neatrodo didesnis nei kitų automobilių. Eksperto konsultacijos metu mane patikino, kad, esant reikalui, ekspertizės metu garso lygį galima pamatuoti, kad nebūtų viršijamos ribos.</w:t>
      </w:r>
    </w:p>
    <w:p>
      <w:pPr>
        <w:pStyle w:val="Heading1"/>
        <w:numPr>
          <w:ilvl w:val="2"/>
          <w:numId w:val="2"/>
        </w:numPr>
        <w:ind w:hanging="0" w:start="0"/>
        <w:rPr>
          <w:lang w:val="lt-LT"/>
        </w:rPr>
      </w:pPr>
      <w:bookmarkStart w:id="17" w:name="__RefHeading___Toc641_3585910784"/>
      <w:bookmarkEnd w:id="17"/>
      <w:r>
        <w:rPr>
          <w:lang w:val="lt-LT"/>
        </w:rPr>
        <w:t>Sankabos komplektas</w:t>
      </w:r>
    </w:p>
    <w:p>
      <w:pPr>
        <w:pStyle w:val="BodyText"/>
        <w:rPr>
          <w:lang w:val="lt-LT"/>
        </w:rPr>
      </w:pPr>
      <w:r>
        <w:rPr>
          <w:lang w:val="lt-LT"/>
        </w:rPr>
        <w:t>Sumontuoti smagratis (028105269B) ir diskatorius (021141025F) skirti trečios kartos „VW Golf“ su AHU varikliu. Sankaba (025141031G) nuo „VW Transporter“ su 2.1l varikliu (skersmuo 228mm kaip ir „VW Golf“ su AHU varikliu). Tai didžiausias sankabos diskas nuo galingiausio 2.1l variklio varianto montuoto trečios kartos „VW Transporter“ automobiliuose. Taip pasiekiamas geriausias detalių suderinamumas ir savybės.</w:t>
      </w:r>
    </w:p>
    <w:p>
      <w:pPr>
        <w:pStyle w:val="Heading1"/>
        <w:numPr>
          <w:ilvl w:val="2"/>
          <w:numId w:val="2"/>
        </w:numPr>
        <w:ind w:hanging="0" w:start="0"/>
        <w:rPr>
          <w:lang w:val="lt-LT"/>
        </w:rPr>
      </w:pPr>
      <w:bookmarkStart w:id="18" w:name="__RefHeading___Toc643_3585910784"/>
      <w:bookmarkEnd w:id="18"/>
      <w:r>
        <w:rPr>
          <w:lang w:val="lt-LT"/>
        </w:rPr>
        <w:t>Stabdžiai</w:t>
      </w:r>
    </w:p>
    <w:p>
      <w:pPr>
        <w:pStyle w:val="BodyText"/>
        <w:rPr>
          <w:lang w:val="lt-LT"/>
        </w:rPr>
      </w:pPr>
      <w:r>
        <w:rPr>
          <w:lang w:val="lt-LT"/>
        </w:rPr>
        <w:t>Stabžių sistema nemodifikuota ir palikta gamyklinė. Visoje trečios kartos dviem ratais varomų „VW Transporter“ komplektacijų gamoje buvo montuojami du stabdžių sistemos variantai: ankstyvas fiksuoto dviejų cilindriukų stabdžių suporto variantas su 278mm skersmens stabdžių disku ir vėliau jį pakeitęs plaukiojančio vieno cilindriuko suporto variantas su 258mm skersmens stabdžių disku. Stabdžių sistema buvo vienodo pajėgumo nepriklausomai nuo sumontuoto variklio. Mano automobilyje iš gamyklos yra sumontuotas ankstyvas variantas su didesniais 278mm stabdžių diskais priekyje ir fiksuotais stabdžių suportais su dviem cilindriukais. Į tokią stabdžių sistemą turintį „VW Transporter“ galingiausias montuotas variklis buvo 2.1l 70kW . Dėl to stabdžių sistema yra pakankama 66kW galingumo varikliui.</w:t>
      </w:r>
    </w:p>
    <w:p>
      <w:pPr>
        <w:pStyle w:val="Heading1"/>
        <w:numPr>
          <w:ilvl w:val="2"/>
          <w:numId w:val="2"/>
        </w:numPr>
        <w:ind w:hanging="0" w:start="0"/>
        <w:rPr>
          <w:lang w:val="lt-LT"/>
        </w:rPr>
      </w:pPr>
      <w:bookmarkStart w:id="19" w:name="__RefHeading___Toc645_3585910784"/>
      <w:bookmarkEnd w:id="19"/>
      <w:r>
        <w:rPr>
          <w:lang w:val="lt-LT"/>
        </w:rPr>
        <w:t>Aušinimas</w:t>
      </w:r>
    </w:p>
    <w:p>
      <w:pPr>
        <w:pStyle w:val="BodyText"/>
        <w:rPr>
          <w:lang w:val="lt-LT"/>
        </w:rPr>
      </w:pPr>
      <w:r>
        <w:rPr>
          <w:lang w:val="lt-LT"/>
        </w:rPr>
        <w:t>Aušinimo sistema nemodifikuota ir palikta gamyklinė. Ar pakankami aušinimo sistemos pajėgumai lyginant su kitais automobiliais, kuriuose buvo montuojamas AHU variklis? Palyginimui naudoju panašios masės pirmos kartos 1996m. „VW Sharan“ (1639kg) ir penktos kartos 1999m. „VW Passat“ (1342kg). Pasak techninio paso lyginamas „VW Transporter“ sveria 1393kg.</w:t>
      </w:r>
    </w:p>
    <w:p>
      <w:pPr>
        <w:pStyle w:val="BodyText"/>
        <w:rPr>
          <w:lang w:val="lt-LT"/>
        </w:rPr>
      </w:pPr>
      <w:r>
        <w:rPr>
          <w:lang w:val="lt-LT"/>
        </w:rPr>
        <w:t>Radiatoriaus talpa (skaičiuojant išorinius išmatavimus):</w:t>
      </w:r>
    </w:p>
    <w:p>
      <w:pPr>
        <w:pStyle w:val="BodyText"/>
        <w:rPr>
          <w:lang w:val="lt-LT"/>
        </w:rPr>
      </w:pPr>
      <w:r>
        <w:rPr>
          <w:lang w:val="lt-LT"/>
        </w:rPr>
        <w:t xml:space="preserve">    • „</w:t>
      </w:r>
      <w:r>
        <w:rPr>
          <w:lang w:val="lt-LT"/>
        </w:rPr>
        <w:t>VW Transporter“ - 8.33l (568 x 430 x 34 mm)</w:t>
      </w:r>
    </w:p>
    <w:p>
      <w:pPr>
        <w:pStyle w:val="BodyText"/>
        <w:rPr>
          <w:lang w:val="lt-LT"/>
        </w:rPr>
      </w:pPr>
      <w:r>
        <w:rPr>
          <w:lang w:val="lt-LT"/>
        </w:rPr>
        <w:t xml:space="preserve">    • „</w:t>
      </w:r>
      <w:r>
        <w:rPr>
          <w:lang w:val="lt-LT"/>
        </w:rPr>
        <w:t>VW Sharan“ -  7.9l (635 x 366 x 34 mm)</w:t>
      </w:r>
    </w:p>
    <w:p>
      <w:pPr>
        <w:pStyle w:val="BodyText"/>
        <w:rPr>
          <w:lang w:val="lt-LT"/>
        </w:rPr>
      </w:pPr>
      <w:r>
        <w:rPr>
          <w:lang w:val="lt-LT"/>
        </w:rPr>
        <w:t xml:space="preserve">    • „</w:t>
      </w:r>
      <w:r>
        <w:rPr>
          <w:lang w:val="lt-LT"/>
        </w:rPr>
        <w:t>VW Passat“ - 8.0l (630 x 397 x 32)</w:t>
      </w:r>
    </w:p>
    <w:p>
      <w:pPr>
        <w:pStyle w:val="BodyText"/>
        <w:rPr>
          <w:lang w:val="lt-LT"/>
        </w:rPr>
      </w:pPr>
      <w:r>
        <w:rPr>
          <w:lang w:val="lt-LT"/>
        </w:rPr>
        <w:t>Reikalingas aušinimo skysčio kiekis užpildyti sistemai:</w:t>
      </w:r>
    </w:p>
    <w:p>
      <w:pPr>
        <w:pStyle w:val="BodyText"/>
        <w:rPr>
          <w:lang w:val="lt-LT"/>
        </w:rPr>
      </w:pPr>
      <w:r>
        <w:rPr>
          <w:lang w:val="lt-LT"/>
        </w:rPr>
        <w:t xml:space="preserve">    • „</w:t>
      </w:r>
      <w:r>
        <w:rPr>
          <w:lang w:val="lt-LT"/>
        </w:rPr>
        <w:t>VW Transporter“ - ~16l</w:t>
      </w:r>
    </w:p>
    <w:p>
      <w:pPr>
        <w:pStyle w:val="BodyText"/>
        <w:rPr>
          <w:lang w:val="lt-LT"/>
        </w:rPr>
      </w:pPr>
      <w:r>
        <w:rPr>
          <w:lang w:val="lt-LT"/>
        </w:rPr>
        <w:t xml:space="preserve">    • „</w:t>
      </w:r>
      <w:r>
        <w:rPr>
          <w:lang w:val="lt-LT"/>
        </w:rPr>
        <w:t>VW Sharan“ - 6,8l</w:t>
      </w:r>
    </w:p>
    <w:p>
      <w:pPr>
        <w:pStyle w:val="BodyText"/>
        <w:rPr>
          <w:lang w:val="lt-LT"/>
        </w:rPr>
      </w:pPr>
      <w:r>
        <w:rPr>
          <w:lang w:val="lt-LT"/>
        </w:rPr>
        <w:t xml:space="preserve">    • „</w:t>
      </w:r>
      <w:r>
        <w:rPr>
          <w:lang w:val="lt-LT"/>
        </w:rPr>
        <w:t>VW Passat“ - 7,5l</w:t>
      </w:r>
    </w:p>
    <w:p>
      <w:pPr>
        <w:pStyle w:val="BodyText"/>
        <w:rPr>
          <w:lang w:val="lt-LT"/>
        </w:rPr>
      </w:pPr>
      <w:r>
        <w:rPr>
          <w:lang w:val="lt-LT"/>
        </w:rPr>
        <w:t>Galima daryti išvadą, kad trečios kartos „VW Transporter“ aušinimo sistema pakankama AHU varikliui, nes radiatoriaus potencialas panašus, o aušinimo skysčio rezervas net gerokai didesnis nei panašios masės automobilių, kuriuose buvo montuojami AHU varikliai.</w:t>
      </w:r>
    </w:p>
    <w:p>
      <w:pPr>
        <w:pStyle w:val="Heading1"/>
        <w:numPr>
          <w:ilvl w:val="2"/>
          <w:numId w:val="2"/>
        </w:numPr>
        <w:ind w:hanging="0" w:start="0"/>
        <w:rPr>
          <w:lang w:val="lt-LT"/>
        </w:rPr>
      </w:pPr>
      <w:bookmarkStart w:id="20" w:name="__RefHeading___Toc647_3585910784"/>
      <w:bookmarkEnd w:id="20"/>
      <w:r>
        <w:rPr>
          <w:lang w:val="lt-LT"/>
        </w:rPr>
        <w:t>Apibendrinimas</w:t>
      </w:r>
    </w:p>
    <w:p>
      <w:pPr>
        <w:pStyle w:val="BodyText"/>
        <w:numPr>
          <w:ilvl w:val="0"/>
          <w:numId w:val="4"/>
        </w:numPr>
        <w:rPr>
          <w:lang w:val="lt-LT"/>
        </w:rPr>
      </w:pPr>
      <w:r>
        <w:rPr>
          <w:lang w:val="lt-LT"/>
        </w:rPr>
        <w:t>Variklio keitimas atliktas be modifikacijų, nes varikliai artimai giminingi.</w:t>
      </w:r>
    </w:p>
    <w:p>
      <w:pPr>
        <w:pStyle w:val="BodyText"/>
        <w:numPr>
          <w:ilvl w:val="0"/>
          <w:numId w:val="4"/>
        </w:numPr>
        <w:rPr>
          <w:lang w:val="lt-LT"/>
        </w:rPr>
      </w:pPr>
      <w:r>
        <w:rPr>
          <w:lang w:val="lt-LT"/>
        </w:rPr>
        <w:t xml:space="preserve">Stabdžių pajėgumo užtenka, nes stabdžiai tokie kaip ir modelio su 70kW varikliu. </w:t>
      </w:r>
    </w:p>
    <w:p>
      <w:pPr>
        <w:pStyle w:val="BodyText"/>
        <w:numPr>
          <w:ilvl w:val="0"/>
          <w:numId w:val="4"/>
        </w:numPr>
        <w:rPr>
          <w:lang w:val="lt-LT"/>
        </w:rPr>
      </w:pPr>
      <w:r>
        <w:rPr>
          <w:lang w:val="lt-LT"/>
        </w:rPr>
        <w:t>Emisijų parametrai nesuprastėja, nes variklis 15m. naujesnis.</w:t>
      </w:r>
    </w:p>
    <w:p>
      <w:pPr>
        <w:pStyle w:val="BodyText"/>
        <w:numPr>
          <w:ilvl w:val="0"/>
          <w:numId w:val="4"/>
        </w:numPr>
        <w:rPr>
          <w:lang w:val="lt-LT"/>
        </w:rPr>
      </w:pPr>
      <w:r>
        <w:rPr>
          <w:lang w:val="lt-LT"/>
        </w:rPr>
        <w:t>Išmetimo sistemos efektyvumas malšinti variklio skleidžiamą triukšmą atrodo pakankamas ir yra nesunkiai išmatuojamas.</w:t>
      </w:r>
    </w:p>
    <w:p>
      <w:pPr>
        <w:pStyle w:val="BodyText"/>
        <w:numPr>
          <w:ilvl w:val="0"/>
          <w:numId w:val="4"/>
        </w:numPr>
        <w:rPr>
          <w:lang w:val="lt-LT"/>
        </w:rPr>
      </w:pPr>
      <w:r>
        <w:rPr>
          <w:lang w:val="lt-LT"/>
        </w:rPr>
        <w:t>Aušinimo pajėgumų užtenka, nes aušinimo sistema atitinka arba viršija modelių, kuriuose buvo montuojamas AHU variklis, aušinimo sistemų pajėgumus.</w:t>
      </w:r>
    </w:p>
    <w:p>
      <w:pPr>
        <w:pStyle w:val="Heading1"/>
        <w:numPr>
          <w:ilvl w:val="2"/>
          <w:numId w:val="2"/>
        </w:numPr>
        <w:ind w:hanging="0" w:start="0"/>
        <w:rPr>
          <w:lang w:val="lt-LT"/>
        </w:rPr>
      </w:pPr>
      <w:bookmarkStart w:id="21" w:name="__RefHeading___Toc649_3585910784"/>
      <w:bookmarkEnd w:id="21"/>
      <w:r>
        <w:rPr>
          <w:lang w:val="lt-LT"/>
        </w:rPr>
        <w:t>Šaltiniai</w:t>
      </w:r>
    </w:p>
    <w:p>
      <w:pPr>
        <w:pStyle w:val="BodyText"/>
        <w:rPr/>
      </w:pPr>
      <w:hyperlink r:id="rId13">
        <w:r>
          <w:rPr>
            <w:rStyle w:val="Hyperlink"/>
            <w:lang w:val="lt-LT"/>
          </w:rPr>
          <w:t>https://www.autoaibė.lt</w:t>
        </w:r>
      </w:hyperlink>
      <w:r>
        <w:rPr>
          <w:lang w:val="lt-LT"/>
        </w:rPr>
        <w:t xml:space="preserve"> - detalių parametrai, detalių suderinamumas pagal komplektaciją.</w:t>
      </w:r>
    </w:p>
    <w:p>
      <w:pPr>
        <w:pStyle w:val="BodyText"/>
        <w:rPr/>
      </w:pPr>
      <w:hyperlink r:id="rId14">
        <w:r>
          <w:rPr>
            <w:rStyle w:val="Hyperlink"/>
            <w:lang w:val="lt-LT"/>
          </w:rPr>
          <w:t>https://en.wikipedia.org/wiki/List_of_Volkswagen_Group_engines</w:t>
        </w:r>
      </w:hyperlink>
      <w:r>
        <w:rPr>
          <w:lang w:val="lt-LT"/>
        </w:rPr>
        <w:t xml:space="preserve"> - variklių kubatūra, automobilių modeliai ir metai, kada buvo montuojami konkretūs varikliai.</w:t>
      </w:r>
    </w:p>
    <w:p>
      <w:pPr>
        <w:pStyle w:val="BodyText"/>
        <w:rPr/>
      </w:pPr>
      <w:hyperlink r:id="rId15">
        <w:r>
          <w:rPr>
            <w:rStyle w:val="Hyperlink"/>
            <w:lang w:val="lt-LT"/>
          </w:rPr>
          <w:t>https://www.ultimatespecs.com</w:t>
        </w:r>
      </w:hyperlink>
      <w:r>
        <w:rPr>
          <w:lang w:val="lt-LT"/>
        </w:rPr>
        <w:t xml:space="preserve"> - automobilių masės.</w:t>
      </w:r>
    </w:p>
    <w:p>
      <w:pPr>
        <w:pStyle w:val="BodyText"/>
        <w:rPr/>
      </w:pPr>
      <w:hyperlink r:id="rId16">
        <w:r>
          <w:rPr>
            <w:rStyle w:val="Hyperlink"/>
            <w:lang w:val="lt-LT"/>
          </w:rPr>
          <w:t>https://www.heritagepartscentre.com</w:t>
        </w:r>
      </w:hyperlink>
      <w:r>
        <w:rPr>
          <w:lang w:val="lt-LT"/>
        </w:rPr>
        <w:t xml:space="preserve"> - diagramos.</w:t>
      </w:r>
    </w:p>
    <w:p>
      <w:pPr>
        <w:pStyle w:val="BodyText"/>
        <w:rPr/>
      </w:pPr>
      <w:hyperlink r:id="rId17">
        <w:r>
          <w:rPr>
            <w:rStyle w:val="Hyperlink"/>
            <w:lang w:val="lt-LT"/>
          </w:rPr>
          <w:t>https://www.partsplaceinc.com/</w:t>
        </w:r>
      </w:hyperlink>
      <w:r>
        <w:rPr>
          <w:lang w:val="lt-LT"/>
        </w:rPr>
        <w:t xml:space="preserve"> - „VW Golf TDI“ išmetimo sistemos komplekto pavyzdys.</w:t>
      </w:r>
    </w:p>
    <w:p>
      <w:pPr>
        <w:pStyle w:val="Heading1"/>
        <w:keepNext w:val="true"/>
        <w:widowControl/>
        <w:numPr>
          <w:ilvl w:val="0"/>
          <w:numId w:val="0"/>
        </w:numPr>
        <w:suppressAutoHyphens w:val="true"/>
        <w:bidi w:val="0"/>
        <w:spacing w:before="0" w:after="120"/>
        <w:ind w:hanging="0" w:start="0" w:end="0"/>
        <w:jc w:val="start"/>
        <w:rPr>
          <w:lang w:val="lt-LT"/>
        </w:rPr>
      </w:pPr>
      <w:r>
        <w:rPr>
          <w:lang w:val="lt-LT"/>
        </w:rPr>
      </w:r>
      <w:r>
        <w:br w:type="page"/>
      </w:r>
    </w:p>
    <w:p>
      <w:pPr>
        <w:pStyle w:val="Heading1"/>
        <w:widowControl/>
        <w:numPr>
          <w:ilvl w:val="0"/>
          <w:numId w:val="2"/>
        </w:numPr>
        <w:suppressAutoHyphens w:val="true"/>
        <w:bidi w:val="0"/>
        <w:spacing w:before="0" w:after="120"/>
        <w:ind w:hanging="0" w:start="0" w:end="0"/>
        <w:jc w:val="start"/>
        <w:rPr>
          <w:lang w:val="lt-LT"/>
        </w:rPr>
      </w:pPr>
      <w:bookmarkStart w:id="22" w:name="__RefHeading___Toc625_3585910784_Copy_1"/>
      <w:bookmarkEnd w:id="22"/>
      <w:r>
        <w:rPr>
          <w:lang w:val="lt-LT"/>
        </w:rPr>
        <w:t>Transporto priemonės duomenys po perdirbimo</w:t>
      </w:r>
    </w:p>
    <w:p>
      <w:pPr>
        <w:pStyle w:val="BodyText"/>
        <w:bidi w:val="0"/>
        <w:jc w:val="start"/>
        <w:rPr>
          <w:lang w:val="lt-LT"/>
        </w:rPr>
      </w:pPr>
      <w:r>
        <w:rPr>
          <w:lang w:val="lt-LT"/>
        </w:rPr>
        <w:t>Transporto priemonės „VW Transporter“ duomenys:</w:t>
      </w:r>
    </w:p>
    <w:p>
      <w:pPr>
        <w:pStyle w:val="BodyText"/>
        <w:numPr>
          <w:ilvl w:val="0"/>
          <w:numId w:val="3"/>
        </w:numPr>
        <w:bidi w:val="0"/>
        <w:jc w:val="start"/>
        <w:rPr>
          <w:lang w:val="lt-LT"/>
        </w:rPr>
      </w:pPr>
      <w:r>
        <w:rPr>
          <w:lang w:val="lt-LT"/>
        </w:rPr>
        <w:t>identifikavimo numeris: ***********************;</w:t>
      </w:r>
    </w:p>
    <w:p>
      <w:pPr>
        <w:pStyle w:val="BodyText"/>
        <w:numPr>
          <w:ilvl w:val="0"/>
          <w:numId w:val="3"/>
        </w:numPr>
        <w:bidi w:val="0"/>
        <w:jc w:val="start"/>
        <w:rPr>
          <w:lang w:val="lt-LT"/>
        </w:rPr>
      </w:pPr>
      <w:r>
        <w:rPr>
          <w:lang w:val="lt-LT"/>
        </w:rPr>
        <w:t>pirmosios registracijos data: 1983 m.;</w:t>
      </w:r>
    </w:p>
    <w:p>
      <w:pPr>
        <w:pStyle w:val="BodyText"/>
        <w:numPr>
          <w:ilvl w:val="0"/>
          <w:numId w:val="3"/>
        </w:numPr>
        <w:bidi w:val="0"/>
        <w:jc w:val="start"/>
        <w:rPr>
          <w:lang w:val="lt-LT"/>
        </w:rPr>
      </w:pPr>
      <w:r>
        <w:rPr>
          <w:lang w:val="lt-LT"/>
        </w:rPr>
        <w:t>variklio duomenys:</w:t>
      </w:r>
    </w:p>
    <w:p>
      <w:pPr>
        <w:pStyle w:val="BodyText"/>
        <w:numPr>
          <w:ilvl w:val="1"/>
          <w:numId w:val="3"/>
        </w:numPr>
        <w:bidi w:val="0"/>
        <w:jc w:val="start"/>
        <w:rPr>
          <w:lang w:val="lt-LT"/>
        </w:rPr>
      </w:pPr>
      <w:r>
        <w:rPr>
          <w:lang w:val="lt-LT"/>
        </w:rPr>
        <w:t>galia, kW: 66;</w:t>
      </w:r>
    </w:p>
    <w:p>
      <w:pPr>
        <w:pStyle w:val="BodyText"/>
        <w:numPr>
          <w:ilvl w:val="1"/>
          <w:numId w:val="3"/>
        </w:numPr>
        <w:bidi w:val="0"/>
        <w:jc w:val="start"/>
        <w:rPr>
          <w:lang w:val="lt-LT"/>
        </w:rPr>
      </w:pPr>
      <w:r>
        <w:rPr>
          <w:lang w:val="lt-LT"/>
        </w:rPr>
        <w:t>variklio darbinis tūris cm</w:t>
      </w:r>
      <w:r>
        <w:rPr>
          <w:vertAlign w:val="superscript"/>
          <w:lang w:val="lt-LT"/>
        </w:rPr>
        <w:t>2</w:t>
      </w:r>
      <w:r>
        <w:rPr>
          <w:position w:val="0"/>
          <w:sz w:val="24"/>
          <w:vertAlign w:val="baseline"/>
          <w:lang w:val="lt-LT"/>
        </w:rPr>
        <w:t>: 1896;</w:t>
      </w:r>
    </w:p>
    <w:p>
      <w:pPr>
        <w:pStyle w:val="BodyText"/>
        <w:numPr>
          <w:ilvl w:val="1"/>
          <w:numId w:val="3"/>
        </w:numPr>
        <w:bidi w:val="0"/>
        <w:jc w:val="start"/>
        <w:rPr>
          <w:lang w:val="lt-LT"/>
        </w:rPr>
      </w:pPr>
      <w:r>
        <w:rPr>
          <w:lang w:val="lt-LT"/>
        </w:rPr>
        <w:t>degalai: dyzelinas;</w:t>
      </w:r>
    </w:p>
    <w:p>
      <w:pPr>
        <w:pStyle w:val="BodyText"/>
        <w:numPr>
          <w:ilvl w:val="0"/>
          <w:numId w:val="3"/>
        </w:numPr>
        <w:bidi w:val="0"/>
        <w:jc w:val="start"/>
        <w:rPr>
          <w:lang w:val="lt-LT"/>
        </w:rPr>
      </w:pPr>
      <w:r>
        <w:rPr>
          <w:lang w:val="lt-LT"/>
        </w:rPr>
        <w:t>parengtos eksploatuoti transporto priemonės masė: 1393kg;</w:t>
      </w:r>
    </w:p>
    <w:p>
      <w:pPr>
        <w:pStyle w:val="BodyText"/>
        <w:numPr>
          <w:ilvl w:val="0"/>
          <w:numId w:val="3"/>
        </w:numPr>
        <w:bidi w:val="0"/>
        <w:jc w:val="start"/>
        <w:rPr>
          <w:lang w:val="lt-LT"/>
        </w:rPr>
      </w:pPr>
      <w:r>
        <w:rPr>
          <w:lang w:val="lt-LT"/>
        </w:rPr>
        <w:t>didžiausia techniškai leistina pakrautos transporto priemonės masė: 2390kg;</w:t>
      </w:r>
    </w:p>
    <w:p>
      <w:pPr>
        <w:pStyle w:val="BodyText"/>
        <w:numPr>
          <w:ilvl w:val="0"/>
          <w:numId w:val="3"/>
        </w:numPr>
        <w:bidi w:val="0"/>
        <w:jc w:val="start"/>
        <w:rPr>
          <w:lang w:val="lt-LT"/>
        </w:rPr>
      </w:pPr>
      <w:r>
        <w:rPr>
          <w:lang w:val="lt-LT"/>
        </w:rPr>
        <w:t>didžiausia techniškai leidžiama kiekvienai ašiai tenkanti masė:</w:t>
      </w:r>
    </w:p>
    <w:p>
      <w:pPr>
        <w:pStyle w:val="BodyText"/>
        <w:numPr>
          <w:ilvl w:val="1"/>
          <w:numId w:val="3"/>
        </w:numPr>
        <w:bidi w:val="0"/>
        <w:jc w:val="start"/>
        <w:rPr>
          <w:lang w:val="lt-LT"/>
        </w:rPr>
      </w:pPr>
      <w:r>
        <w:rPr>
          <w:lang w:val="lt-LT"/>
        </w:rPr>
        <w:t>priekinė ašis: 1100kg;</w:t>
      </w:r>
    </w:p>
    <w:p>
      <w:pPr>
        <w:pStyle w:val="BodyText"/>
        <w:numPr>
          <w:ilvl w:val="1"/>
          <w:numId w:val="3"/>
        </w:numPr>
        <w:bidi w:val="0"/>
        <w:jc w:val="start"/>
        <w:rPr>
          <w:lang w:val="lt-LT"/>
        </w:rPr>
      </w:pPr>
      <w:r>
        <w:rPr>
          <w:lang w:val="lt-LT"/>
        </w:rPr>
        <w:t>galinė ašis: 1300kg;</w:t>
      </w:r>
    </w:p>
    <w:p>
      <w:pPr>
        <w:pStyle w:val="BodyText"/>
        <w:numPr>
          <w:ilvl w:val="0"/>
          <w:numId w:val="3"/>
        </w:numPr>
        <w:bidi w:val="0"/>
        <w:jc w:val="start"/>
        <w:rPr>
          <w:lang w:val="lt-LT"/>
        </w:rPr>
      </w:pPr>
      <w:r>
        <w:rPr>
          <w:lang w:val="lt-LT"/>
        </w:rPr>
        <w:t>sėdimų vietų skaičius: 8.</w:t>
      </w:r>
    </w:p>
    <w:p>
      <w:pPr>
        <w:pStyle w:val="BodyText"/>
        <w:bidi w:val="0"/>
        <w:jc w:val="start"/>
        <w:rPr>
          <w:lang w:val="lt-LT"/>
        </w:rPr>
      </w:pPr>
      <w:r>
        <w:rPr>
          <w:lang w:val="lt-LT"/>
        </w:rPr>
      </w:r>
      <w:r>
        <w:br w:type="page"/>
      </w:r>
    </w:p>
    <w:p>
      <w:pPr>
        <w:pStyle w:val="Heading1"/>
        <w:numPr>
          <w:ilvl w:val="1"/>
          <w:numId w:val="2"/>
        </w:numPr>
        <w:spacing w:before="0" w:after="120"/>
        <w:ind w:hanging="0" w:start="0"/>
        <w:rPr>
          <w:lang w:val="lt-LT"/>
        </w:rPr>
      </w:pPr>
      <w:bookmarkStart w:id="23" w:name="__RefHeading___Toc1480_3585910784"/>
      <w:bookmarkEnd w:id="23"/>
      <w:r>
        <w:rPr>
          <w:lang w:val="lt-LT"/>
        </w:rPr>
        <w:t>Transporto priemonės po perdirbimo nuotraukos</w:t>
      </w:r>
    </w:p>
    <w:tbl>
      <w:tblPr>
        <w:tblW w:w="5000" w:type="pct"/>
        <w:jc w:val="start"/>
        <w:tblInd w:w="0" w:type="dxa"/>
        <w:tblLayout w:type="fixed"/>
        <w:tblCellMar>
          <w:top w:w="55" w:type="dxa"/>
          <w:start w:w="55" w:type="dxa"/>
          <w:bottom w:w="55" w:type="dxa"/>
          <w:end w:w="55" w:type="dxa"/>
        </w:tblCellMar>
      </w:tblPr>
      <w:tblGrid>
        <w:gridCol w:w="9638"/>
      </w:tblGrid>
      <w:tr>
        <w:trPr/>
        <w:tc>
          <w:tcPr>
            <w:tcW w:w="9638" w:type="dxa"/>
            <w:tcBorders/>
          </w:tcPr>
          <w:p>
            <w:pPr>
              <w:pStyle w:val="TableContents"/>
              <w:rPr>
                <w:lang w:val="lt-LT"/>
              </w:rPr>
            </w:pPr>
            <w:r>
              <w:rPr/>
              <w:drawing>
                <wp:inline distT="0" distB="0" distL="0" distR="0">
                  <wp:extent cx="6050280" cy="3970020"/>
                  <wp:effectExtent l="0" t="0" r="0" b="0"/>
                  <wp:docPr id="12" name="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8"/>
                          <pic:cNvPicPr>
                            <a:picLocks noChangeAspect="1" noChangeArrowheads="1"/>
                          </pic:cNvPicPr>
                        </pic:nvPicPr>
                        <pic:blipFill>
                          <a:blip r:embed="rId18"/>
                          <a:srcRect l="0" t="12509" r="0" b="0"/>
                          <a:stretch>
                            <a:fillRect/>
                          </a:stretch>
                        </pic:blipFill>
                        <pic:spPr bwMode="auto">
                          <a:xfrm>
                            <a:off x="0" y="0"/>
                            <a:ext cx="6050280" cy="3970020"/>
                          </a:xfrm>
                          <a:prstGeom prst="rect">
                            <a:avLst/>
                          </a:prstGeom>
                          <a:noFill/>
                        </pic:spPr>
                      </pic:pic>
                    </a:graphicData>
                  </a:graphic>
                </wp:inline>
              </w:drawing>
            </w:r>
            <w:r>
              <w:rPr>
                <w:lang w:val="lt-LT"/>
              </w:rPr>
              <w:fldChar w:fldCharType="begin"/>
            </w:r>
            <w:r>
              <w:rPr>
                <w:lang w:val="lt-LT"/>
              </w:rPr>
              <w:instrText xml:space="preserve"> SEQ Paveikslėlis \* ARABIC </w:instrText>
            </w:r>
            <w:r>
              <w:rPr>
                <w:lang w:val="lt-LT"/>
              </w:rPr>
              <w:fldChar w:fldCharType="separate"/>
            </w:r>
            <w:r>
              <w:rPr>
                <w:lang w:val="lt-LT"/>
              </w:rPr>
              <w:t>20</w:t>
            </w:r>
            <w:r>
              <w:rPr>
                <w:lang w:val="lt-LT"/>
              </w:rPr>
              <w:fldChar w:fldCharType="end"/>
            </w:r>
            <w:r>
              <w:rPr>
                <w:lang w:val="lt-LT"/>
              </w:rPr>
              <w:t xml:space="preserve"> </w:t>
            </w:r>
            <w:r>
              <w:rPr>
                <w:lang w:val="lt-LT"/>
              </w:rPr>
              <w:t>pav. Variklis.</w:t>
            </w:r>
          </w:p>
        </w:tc>
      </w:tr>
      <w:tr>
        <w:trPr/>
        <w:tc>
          <w:tcPr>
            <w:tcW w:w="9638" w:type="dxa"/>
            <w:tcBorders/>
          </w:tcPr>
          <w:p>
            <w:pPr>
              <w:pStyle w:val="TableContents"/>
              <w:rPr>
                <w:lang w:val="lt-LT"/>
              </w:rPr>
            </w:pPr>
            <w:r>
              <w:rPr/>
              <w:drawing>
                <wp:inline distT="0" distB="0" distL="0" distR="0">
                  <wp:extent cx="6050280" cy="3872865"/>
                  <wp:effectExtent l="0" t="0" r="0" b="0"/>
                  <wp:docPr id="13" name="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9"/>
                          <pic:cNvPicPr>
                            <a:picLocks noChangeAspect="1" noChangeArrowheads="1"/>
                          </pic:cNvPicPr>
                        </pic:nvPicPr>
                        <pic:blipFill>
                          <a:blip r:embed="rId19"/>
                          <a:srcRect l="0" t="0" r="0" b="10226"/>
                          <a:stretch>
                            <a:fillRect/>
                          </a:stretch>
                        </pic:blipFill>
                        <pic:spPr bwMode="auto">
                          <a:xfrm>
                            <a:off x="0" y="0"/>
                            <a:ext cx="6050280" cy="3872865"/>
                          </a:xfrm>
                          <a:prstGeom prst="rect">
                            <a:avLst/>
                          </a:prstGeom>
                          <a:noFill/>
                        </pic:spPr>
                      </pic:pic>
                    </a:graphicData>
                  </a:graphic>
                </wp:inline>
              </w:drawing>
            </w:r>
            <w:r>
              <w:rPr>
                <w:lang w:val="lt-LT"/>
              </w:rPr>
              <w:fldChar w:fldCharType="begin"/>
            </w:r>
            <w:r>
              <w:rPr>
                <w:lang w:val="lt-LT"/>
              </w:rPr>
              <w:instrText xml:space="preserve"> SEQ Paveikslėlis \* ARABIC </w:instrText>
            </w:r>
            <w:r>
              <w:rPr>
                <w:lang w:val="lt-LT"/>
              </w:rPr>
              <w:fldChar w:fldCharType="separate"/>
            </w:r>
            <w:r>
              <w:rPr>
                <w:lang w:val="lt-LT"/>
              </w:rPr>
              <w:t>21</w:t>
            </w:r>
            <w:r>
              <w:rPr>
                <w:lang w:val="lt-LT"/>
              </w:rPr>
              <w:fldChar w:fldCharType="end"/>
            </w:r>
            <w:r>
              <w:rPr>
                <w:lang w:val="lt-LT"/>
              </w:rPr>
              <w:t xml:space="preserve"> </w:t>
            </w:r>
            <w:r>
              <w:rPr>
                <w:lang w:val="lt-LT"/>
              </w:rPr>
              <w:t>pav. Vairuotojo pusės variklio kronšteino tvirtinimas prie variklio.</w:t>
            </w:r>
          </w:p>
        </w:tc>
      </w:tr>
      <w:tr>
        <w:trPr/>
        <w:tc>
          <w:tcPr>
            <w:tcW w:w="9638" w:type="dxa"/>
            <w:tcBorders/>
          </w:tcPr>
          <w:p>
            <w:pPr>
              <w:pStyle w:val="TableContents"/>
              <w:rPr>
                <w:lang w:val="lt-LT"/>
              </w:rPr>
            </w:pPr>
            <w:r>
              <w:rPr/>
              <w:drawing>
                <wp:inline distT="0" distB="0" distL="0" distR="0">
                  <wp:extent cx="6050280" cy="3985895"/>
                  <wp:effectExtent l="0" t="0" r="0" b="0"/>
                  <wp:docPr id="14" name="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0"/>
                          <pic:cNvPicPr>
                            <a:picLocks noChangeAspect="1" noChangeArrowheads="1"/>
                          </pic:cNvPicPr>
                        </pic:nvPicPr>
                        <pic:blipFill>
                          <a:blip r:embed="rId20"/>
                          <a:srcRect l="0" t="0" r="0" b="12163"/>
                          <a:stretch>
                            <a:fillRect/>
                          </a:stretch>
                        </pic:blipFill>
                        <pic:spPr bwMode="auto">
                          <a:xfrm>
                            <a:off x="0" y="0"/>
                            <a:ext cx="6050280" cy="3985895"/>
                          </a:xfrm>
                          <a:prstGeom prst="rect">
                            <a:avLst/>
                          </a:prstGeom>
                          <a:noFill/>
                        </pic:spPr>
                      </pic:pic>
                    </a:graphicData>
                  </a:graphic>
                </wp:inline>
              </w:drawing>
            </w:r>
            <w:r>
              <w:drawing>
                <wp:anchor distT="0" distB="0" distL="0" distR="0" simplePos="0" relativeHeight="16" behindDoc="0" locked="0" layoutInCell="1" allowOverlap="1">
                  <wp:simplePos x="0" y="0"/>
                  <wp:positionH relativeFrom="column">
                    <wp:align>center</wp:align>
                  </wp:positionH>
                  <wp:positionV relativeFrom="paragraph">
                    <wp:posOffset>635</wp:posOffset>
                  </wp:positionV>
                  <wp:extent cx="6050280" cy="4537710"/>
                  <wp:effectExtent l="0" t="0" r="0" b="0"/>
                  <wp:wrapSquare wrapText="largest"/>
                  <wp:docPr id="15" name="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1"/>
                          <pic:cNvPicPr>
                            <a:picLocks noChangeAspect="1" noChangeArrowheads="1"/>
                          </pic:cNvPicPr>
                        </pic:nvPicPr>
                        <pic:blipFill>
                          <a:blip r:embed="rId21"/>
                          <a:stretch>
                            <a:fillRect/>
                          </a:stretch>
                        </pic:blipFill>
                        <pic:spPr bwMode="auto">
                          <a:xfrm>
                            <a:off x="0" y="0"/>
                            <a:ext cx="6050280" cy="4537710"/>
                          </a:xfrm>
                          <a:prstGeom prst="rect">
                            <a:avLst/>
                          </a:prstGeom>
                          <a:noFill/>
                        </pic:spPr>
                      </pic:pic>
                    </a:graphicData>
                  </a:graphic>
                </wp:anchor>
              </w:drawing>
            </w:r>
            <w:r>
              <w:rPr>
                <w:lang w:val="lt-LT"/>
              </w:rPr>
              <w:fldChar w:fldCharType="begin"/>
            </w:r>
            <w:r>
              <w:rPr>
                <w:lang w:val="lt-LT"/>
              </w:rPr>
              <w:instrText xml:space="preserve"> SEQ Paveikslėlis \* ARABIC </w:instrText>
            </w:r>
            <w:r>
              <w:rPr>
                <w:lang w:val="lt-LT"/>
              </w:rPr>
              <w:fldChar w:fldCharType="separate"/>
            </w:r>
            <w:r>
              <w:rPr>
                <w:lang w:val="lt-LT"/>
              </w:rPr>
              <w:t>22</w:t>
            </w:r>
            <w:r>
              <w:rPr>
                <w:lang w:val="lt-LT"/>
              </w:rPr>
              <w:fldChar w:fldCharType="end"/>
            </w:r>
            <w:r>
              <w:rPr>
                <w:lang w:val="lt-LT"/>
              </w:rPr>
              <w:t xml:space="preserve">, </w:t>
            </w:r>
            <w:r>
              <w:rPr>
                <w:lang w:val="lt-LT"/>
              </w:rPr>
              <w:fldChar w:fldCharType="begin"/>
            </w:r>
            <w:r>
              <w:rPr>
                <w:lang w:val="lt-LT"/>
              </w:rPr>
              <w:instrText xml:space="preserve"> SEQ Paveikslėlis \* ARABIC </w:instrText>
            </w:r>
            <w:r>
              <w:rPr>
                <w:lang w:val="lt-LT"/>
              </w:rPr>
              <w:fldChar w:fldCharType="separate"/>
            </w:r>
            <w:r>
              <w:rPr>
                <w:lang w:val="lt-LT"/>
              </w:rPr>
              <w:t>23</w:t>
            </w:r>
            <w:r>
              <w:rPr>
                <w:lang w:val="lt-LT"/>
              </w:rPr>
              <w:fldChar w:fldCharType="end"/>
            </w:r>
            <w:r>
              <w:rPr>
                <w:lang w:val="lt-LT"/>
              </w:rPr>
              <w:t xml:space="preserve"> pav. Vairuotojo pusės variklio tvirtinimo taškas. Vaizdas iš galo ir iš priekio.</w:t>
            </w:r>
          </w:p>
        </w:tc>
      </w:tr>
      <w:tr>
        <w:trPr/>
        <w:tc>
          <w:tcPr>
            <w:tcW w:w="9638" w:type="dxa"/>
            <w:tcBorders/>
          </w:tcPr>
          <w:p>
            <w:pPr>
              <w:pStyle w:val="TableContents"/>
              <w:rPr>
                <w:lang w:val="lt-LT"/>
              </w:rPr>
            </w:pPr>
            <w:r>
              <w:drawing>
                <wp:anchor distT="0" distB="0" distL="0" distR="0" simplePos="0" relativeHeight="17" behindDoc="0" locked="0" layoutInCell="1" allowOverlap="1">
                  <wp:simplePos x="0" y="0"/>
                  <wp:positionH relativeFrom="column">
                    <wp:align>center</wp:align>
                  </wp:positionH>
                  <wp:positionV relativeFrom="paragraph">
                    <wp:posOffset>635</wp:posOffset>
                  </wp:positionV>
                  <wp:extent cx="6050280" cy="4537710"/>
                  <wp:effectExtent l="0" t="0" r="0" b="0"/>
                  <wp:wrapSquare wrapText="largest"/>
                  <wp:docPr id="16" name="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2"/>
                          <pic:cNvPicPr>
                            <a:picLocks noChangeAspect="1" noChangeArrowheads="1"/>
                          </pic:cNvPicPr>
                        </pic:nvPicPr>
                        <pic:blipFill>
                          <a:blip r:embed="rId22"/>
                          <a:stretch>
                            <a:fillRect/>
                          </a:stretch>
                        </pic:blipFill>
                        <pic:spPr bwMode="auto">
                          <a:xfrm>
                            <a:off x="0" y="0"/>
                            <a:ext cx="6050280" cy="4537710"/>
                          </a:xfrm>
                          <a:prstGeom prst="rect">
                            <a:avLst/>
                          </a:prstGeom>
                          <a:noFill/>
                        </pic:spPr>
                      </pic:pic>
                    </a:graphicData>
                  </a:graphic>
                </wp:anchor>
              </w:drawing>
            </w:r>
            <w:r>
              <w:rPr>
                <w:lang w:val="lt-LT"/>
              </w:rPr>
              <w:fldChar w:fldCharType="begin"/>
            </w:r>
            <w:r>
              <w:rPr>
                <w:lang w:val="lt-LT"/>
              </w:rPr>
              <w:instrText xml:space="preserve"> SEQ Paveikslėlis \* ARABIC </w:instrText>
            </w:r>
            <w:r>
              <w:rPr>
                <w:lang w:val="lt-LT"/>
              </w:rPr>
              <w:fldChar w:fldCharType="separate"/>
            </w:r>
            <w:r>
              <w:rPr>
                <w:lang w:val="lt-LT"/>
              </w:rPr>
              <w:t>24</w:t>
            </w:r>
            <w:r>
              <w:rPr>
                <w:lang w:val="lt-LT"/>
              </w:rPr>
              <w:fldChar w:fldCharType="end"/>
            </w:r>
            <w:r>
              <w:rPr>
                <w:lang w:val="lt-LT"/>
              </w:rPr>
              <w:t xml:space="preserve"> </w:t>
            </w:r>
            <w:r>
              <w:rPr>
                <w:lang w:val="lt-LT"/>
              </w:rPr>
              <w:t>pav. Keleivio pusės variklio kronšteino tvirtinimas prie variklio.</w:t>
            </w:r>
          </w:p>
          <w:p>
            <w:pPr>
              <w:pStyle w:val="TableContents"/>
              <w:rPr>
                <w:lang w:val="lt-LT"/>
              </w:rPr>
            </w:pPr>
            <w:r>
              <w:rPr>
                <w:lang w:val="lt-LT"/>
              </w:rPr>
            </w:r>
          </w:p>
        </w:tc>
      </w:tr>
      <w:tr>
        <w:trPr/>
        <w:tc>
          <w:tcPr>
            <w:tcW w:w="9638" w:type="dxa"/>
            <w:tcBorders/>
          </w:tcPr>
          <w:p>
            <w:pPr>
              <w:pStyle w:val="TableContents"/>
              <w:rPr>
                <w:lang w:val="lt-LT"/>
              </w:rPr>
            </w:pPr>
            <w:r>
              <w:rPr/>
              <w:drawing>
                <wp:inline distT="0" distB="0" distL="0" distR="0">
                  <wp:extent cx="6050280" cy="4537710"/>
                  <wp:effectExtent l="0" t="0" r="0" b="0"/>
                  <wp:docPr id="17" name="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4"/>
                          <pic:cNvPicPr>
                            <a:picLocks noChangeAspect="1" noChangeArrowheads="1"/>
                          </pic:cNvPicPr>
                        </pic:nvPicPr>
                        <pic:blipFill>
                          <a:blip r:embed="rId23"/>
                          <a:stretch>
                            <a:fillRect/>
                          </a:stretch>
                        </pic:blipFill>
                        <pic:spPr bwMode="auto">
                          <a:xfrm>
                            <a:off x="0" y="0"/>
                            <a:ext cx="6050280" cy="4537710"/>
                          </a:xfrm>
                          <a:prstGeom prst="rect">
                            <a:avLst/>
                          </a:prstGeom>
                          <a:noFill/>
                        </pic:spPr>
                      </pic:pic>
                    </a:graphicData>
                  </a:graphic>
                </wp:inline>
              </w:drawing>
            </w:r>
            <w:r>
              <w:rPr/>
              <w:drawing>
                <wp:inline distT="0" distB="0" distL="0" distR="0">
                  <wp:extent cx="6050280" cy="3690620"/>
                  <wp:effectExtent l="0" t="0" r="0" b="0"/>
                  <wp:docPr id="18" name="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
                          <pic:cNvPicPr>
                            <a:picLocks noChangeAspect="1" noChangeArrowheads="1"/>
                          </pic:cNvPicPr>
                        </pic:nvPicPr>
                        <pic:blipFill>
                          <a:blip r:embed="rId24"/>
                          <a:srcRect l="0" t="0" r="0" b="18661"/>
                          <a:stretch>
                            <a:fillRect/>
                          </a:stretch>
                        </pic:blipFill>
                        <pic:spPr bwMode="auto">
                          <a:xfrm>
                            <a:off x="0" y="0"/>
                            <a:ext cx="6050280" cy="3690620"/>
                          </a:xfrm>
                          <a:prstGeom prst="rect">
                            <a:avLst/>
                          </a:prstGeom>
                          <a:noFill/>
                        </pic:spPr>
                      </pic:pic>
                    </a:graphicData>
                  </a:graphic>
                </wp:inline>
              </w:drawing>
            </w:r>
            <w:r>
              <w:rPr>
                <w:lang w:val="lt-LT"/>
              </w:rPr>
              <w:fldChar w:fldCharType="begin"/>
            </w:r>
            <w:r>
              <w:rPr>
                <w:lang w:val="lt-LT"/>
              </w:rPr>
              <w:instrText xml:space="preserve"> SEQ Paveikslėlis \* ARABIC </w:instrText>
            </w:r>
            <w:r>
              <w:rPr>
                <w:lang w:val="lt-LT"/>
              </w:rPr>
              <w:fldChar w:fldCharType="separate"/>
            </w:r>
            <w:r>
              <w:rPr>
                <w:lang w:val="lt-LT"/>
              </w:rPr>
              <w:t>25</w:t>
            </w:r>
            <w:r>
              <w:rPr>
                <w:lang w:val="lt-LT"/>
              </w:rPr>
              <w:fldChar w:fldCharType="end"/>
            </w:r>
            <w:r>
              <w:rPr>
                <w:lang w:val="lt-LT"/>
              </w:rPr>
              <w:t xml:space="preserve">, </w:t>
            </w:r>
            <w:r>
              <w:rPr>
                <w:lang w:val="lt-LT"/>
              </w:rPr>
              <w:fldChar w:fldCharType="begin"/>
            </w:r>
            <w:r>
              <w:rPr>
                <w:lang w:val="lt-LT"/>
              </w:rPr>
              <w:instrText xml:space="preserve"> SEQ Paveikslėlis \* ARABIC </w:instrText>
            </w:r>
            <w:r>
              <w:rPr>
                <w:lang w:val="lt-LT"/>
              </w:rPr>
              <w:fldChar w:fldCharType="separate"/>
            </w:r>
            <w:r>
              <w:rPr>
                <w:lang w:val="lt-LT"/>
              </w:rPr>
              <w:t>26</w:t>
            </w:r>
            <w:r>
              <w:rPr>
                <w:lang w:val="lt-LT"/>
              </w:rPr>
              <w:fldChar w:fldCharType="end"/>
            </w:r>
            <w:r>
              <w:rPr>
                <w:lang w:val="lt-LT"/>
              </w:rPr>
              <w:t xml:space="preserve"> pav. Keleivio pusės variklio tvirtinimo taškas. Vaizdas iš galo ir iš priekio. </w:t>
            </w:r>
          </w:p>
        </w:tc>
      </w:tr>
    </w:tbl>
    <w:p>
      <w:pPr>
        <w:pStyle w:val="Heading1"/>
        <w:numPr>
          <w:ilvl w:val="0"/>
          <w:numId w:val="2"/>
        </w:numPr>
        <w:ind w:hanging="0" w:start="0"/>
        <w:rPr>
          <w:lang w:val="lt-LT"/>
        </w:rPr>
      </w:pPr>
      <w:bookmarkStart w:id="24" w:name="__RefHeading___Toc1804_3585910784"/>
      <w:bookmarkEnd w:id="24"/>
      <w:r>
        <w:rPr>
          <w:lang w:val="lt-LT"/>
        </w:rPr>
        <w:t>Priedai</w:t>
      </w:r>
    </w:p>
    <w:p>
      <w:pPr>
        <w:pStyle w:val="Heading1"/>
        <w:numPr>
          <w:ilvl w:val="1"/>
          <w:numId w:val="2"/>
        </w:numPr>
        <w:ind w:hanging="0" w:start="0"/>
        <w:rPr>
          <w:lang w:val="lt-LT"/>
        </w:rPr>
      </w:pPr>
      <w:bookmarkStart w:id="25" w:name="__RefHeading___Toc1806_3585910784"/>
      <w:bookmarkEnd w:id="25"/>
      <w:r>
        <w:rPr>
          <w:lang w:val="lt-LT"/>
        </w:rPr>
        <w:t>Transporto priemonės įsigyjimo sutartis</w:t>
      </w:r>
    </w:p>
    <w:p>
      <w:pPr>
        <w:pStyle w:val="BodyText"/>
        <w:rPr>
          <w:lang w:val="lt-LT"/>
        </w:rPr>
      </w:pPr>
      <w:r>
        <w:rPr>
          <w:lang w:val="lt-LT"/>
        </w:rPr>
      </w:r>
    </w:p>
    <w:p>
      <w:pPr>
        <w:pStyle w:val="Heading1"/>
        <w:numPr>
          <w:ilvl w:val="1"/>
          <w:numId w:val="2"/>
        </w:numPr>
        <w:ind w:hanging="0" w:start="0"/>
        <w:rPr>
          <w:lang w:val="lt-LT"/>
        </w:rPr>
      </w:pPr>
      <w:bookmarkStart w:id="26" w:name="__RefHeading___Toc1808_3585910784"/>
      <w:bookmarkEnd w:id="26"/>
      <w:r>
        <w:rPr>
          <w:lang w:val="lt-LT"/>
        </w:rPr>
        <w:t>Variklio pirkimo dokumentas</w:t>
      </w:r>
    </w:p>
    <w:p>
      <w:pPr>
        <w:pStyle w:val="Heading1"/>
        <w:keepNext w:val="true"/>
        <w:widowControl/>
        <w:numPr>
          <w:ilvl w:val="0"/>
          <w:numId w:val="0"/>
        </w:numPr>
        <w:suppressAutoHyphens w:val="true"/>
        <w:bidi w:val="0"/>
        <w:spacing w:before="240" w:after="120"/>
        <w:ind w:hanging="0" w:start="0" w:end="0"/>
        <w:jc w:val="start"/>
        <w:rPr>
          <w:lang w:val="lt-LT"/>
        </w:rPr>
      </w:pPr>
      <w:r>
        <w:rPr>
          <w:lang w:val="lt-LT"/>
        </w:rPr>
      </w:r>
      <w:r>
        <w:br w:type="page"/>
      </w:r>
    </w:p>
    <w:p>
      <w:pPr>
        <w:pStyle w:val="Heading1"/>
        <w:widowControl/>
        <w:numPr>
          <w:ilvl w:val="1"/>
          <w:numId w:val="2"/>
        </w:numPr>
        <w:suppressAutoHyphens w:val="true"/>
        <w:bidi w:val="0"/>
        <w:spacing w:before="0" w:after="120"/>
        <w:ind w:hanging="0" w:start="0" w:end="0"/>
        <w:jc w:val="start"/>
        <w:rPr>
          <w:lang w:val="lt-LT"/>
        </w:rPr>
      </w:pPr>
      <w:bookmarkStart w:id="27" w:name="__RefHeading___Toc1080_677914383"/>
      <w:bookmarkEnd w:id="27"/>
      <w:r>
        <w:rPr>
          <w:lang w:val="lt-LT"/>
        </w:rPr>
        <w:drawing>
          <wp:anchor distT="0" distB="0" distL="0" distR="0" simplePos="0" relativeHeight="20" behindDoc="0" locked="0" layoutInCell="0" allowOverlap="1">
            <wp:simplePos x="0" y="0"/>
            <wp:positionH relativeFrom="column">
              <wp:posOffset>-848360</wp:posOffset>
            </wp:positionH>
            <wp:positionV relativeFrom="paragraph">
              <wp:posOffset>1802130</wp:posOffset>
            </wp:positionV>
            <wp:extent cx="7559675" cy="5337810"/>
            <wp:effectExtent l="0" t="0" r="0" b="0"/>
            <wp:wrapSquare wrapText="largest"/>
            <wp:docPr id="1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
                    <pic:cNvPicPr>
                      <a:picLocks noChangeAspect="1" noChangeArrowheads="1"/>
                    </pic:cNvPicPr>
                  </pic:nvPicPr>
                  <pic:blipFill>
                    <a:blip r:embed="rId25"/>
                    <a:stretch>
                      <a:fillRect/>
                    </a:stretch>
                  </pic:blipFill>
                  <pic:spPr bwMode="auto">
                    <a:xfrm rot="16200000">
                      <a:off x="0" y="0"/>
                      <a:ext cx="7559675" cy="5337810"/>
                    </a:xfrm>
                    <a:prstGeom prst="rect">
                      <a:avLst/>
                    </a:prstGeom>
                    <a:noFill/>
                  </pic:spPr>
                </pic:pic>
              </a:graphicData>
            </a:graphic>
          </wp:anchor>
        </w:drawing>
      </w:r>
      <w:r>
        <w:rPr>
          <w:lang w:val="lt-LT"/>
        </w:rPr>
        <w:t>Greičių dėžės tvirtinimo taškai</w:t>
      </w:r>
      <w:r>
        <w:br w:type="page"/>
      </w:r>
    </w:p>
    <w:p>
      <w:pPr>
        <w:pStyle w:val="Heading1"/>
        <w:keepNext w:val="true"/>
        <w:widowControl/>
        <w:numPr>
          <w:ilvl w:val="1"/>
          <w:numId w:val="2"/>
        </w:numPr>
        <w:suppressAutoHyphens w:val="true"/>
        <w:bidi w:val="0"/>
        <w:spacing w:before="0" w:after="120"/>
        <w:ind w:hanging="0" w:start="0" w:end="0"/>
        <w:jc w:val="start"/>
        <w:rPr>
          <w:lang w:val="lt-LT"/>
        </w:rPr>
      </w:pPr>
      <w:bookmarkStart w:id="28" w:name="__RefHeading___Toc1082_677914383"/>
      <w:bookmarkEnd w:id="28"/>
      <w:r>
        <w:rPr>
          <w:lang w:val="lt-LT"/>
        </w:rPr>
        <w:t xml:space="preserve">Variklio tvirtinimo taškai iš keleivio pusės </w:t>
      </w:r>
    </w:p>
    <w:p>
      <w:pPr>
        <w:pStyle w:val="BodyText"/>
        <w:widowControl/>
        <w:suppressAutoHyphens w:val="true"/>
        <w:bidi w:val="0"/>
        <w:spacing w:before="0" w:after="120"/>
        <w:ind w:hanging="0" w:start="0" w:end="0"/>
        <w:jc w:val="start"/>
        <w:rPr>
          <w:lang w:val="lt-LT"/>
        </w:rPr>
      </w:pPr>
      <w:r>
        <w:rPr>
          <w:lang w:val="lt-LT"/>
        </w:rPr>
      </w:r>
    </w:p>
    <w:p>
      <w:pPr>
        <w:pStyle w:val="BodyText"/>
        <w:widowControl/>
        <w:suppressAutoHyphens w:val="true"/>
        <w:bidi w:val="0"/>
        <w:spacing w:before="0" w:after="120"/>
        <w:ind w:hanging="0" w:start="0" w:end="0"/>
        <w:jc w:val="start"/>
        <w:rPr>
          <w:lang w:val="lt-LT"/>
        </w:rPr>
      </w:pPr>
      <w:r>
        <w:rPr>
          <w:lang w:val="lt-LT"/>
        </w:rPr>
        <w:drawing>
          <wp:anchor distT="0" distB="0" distL="0" distR="0" simplePos="0" relativeHeight="21" behindDoc="0" locked="0" layoutInCell="0" allowOverlap="1">
            <wp:simplePos x="0" y="0"/>
            <wp:positionH relativeFrom="column">
              <wp:posOffset>-1058545</wp:posOffset>
            </wp:positionH>
            <wp:positionV relativeFrom="paragraph">
              <wp:posOffset>1106805</wp:posOffset>
            </wp:positionV>
            <wp:extent cx="7560310" cy="5338445"/>
            <wp:effectExtent l="0" t="0" r="0" b="0"/>
            <wp:wrapSquare wrapText="largest"/>
            <wp:docPr id="20"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
                    <pic:cNvPicPr>
                      <a:picLocks noChangeAspect="1" noChangeArrowheads="1"/>
                    </pic:cNvPicPr>
                  </pic:nvPicPr>
                  <pic:blipFill>
                    <a:blip r:embed="rId26"/>
                    <a:stretch>
                      <a:fillRect/>
                    </a:stretch>
                  </pic:blipFill>
                  <pic:spPr bwMode="auto">
                    <a:xfrm rot="16200000">
                      <a:off x="0" y="0"/>
                      <a:ext cx="7560310" cy="5338445"/>
                    </a:xfrm>
                    <a:prstGeom prst="rect">
                      <a:avLst/>
                    </a:prstGeom>
                    <a:noFill/>
                  </pic:spPr>
                </pic:pic>
              </a:graphicData>
            </a:graphic>
          </wp:anchor>
        </w:drawing>
      </w:r>
      <w:r>
        <w:br w:type="page"/>
      </w:r>
    </w:p>
    <w:p>
      <w:pPr>
        <w:pStyle w:val="Heading1"/>
        <w:keepNext w:val="true"/>
        <w:widowControl/>
        <w:numPr>
          <w:ilvl w:val="1"/>
          <w:numId w:val="2"/>
        </w:numPr>
        <w:suppressAutoHyphens w:val="true"/>
        <w:bidi w:val="0"/>
        <w:spacing w:before="0" w:after="120"/>
        <w:ind w:hanging="0" w:start="0" w:end="0"/>
        <w:jc w:val="start"/>
        <w:rPr>
          <w:lang w:val="lt-LT"/>
        </w:rPr>
      </w:pPr>
      <w:bookmarkStart w:id="29" w:name="__RefHeading___Toc1084_677914383"/>
      <w:bookmarkEnd w:id="29"/>
      <w:r>
        <w:rPr>
          <w:lang w:val="lt-LT"/>
        </w:rPr>
        <w:t>Variklio tvirtinimo taškai iš vairuotojo pusės</w:t>
      </w:r>
    </w:p>
    <w:p>
      <w:pPr>
        <w:pStyle w:val="BodyText"/>
        <w:widowControl/>
        <w:suppressAutoHyphens w:val="true"/>
        <w:bidi w:val="0"/>
        <w:spacing w:before="0" w:after="120"/>
        <w:ind w:hanging="0" w:start="0" w:end="0"/>
        <w:jc w:val="start"/>
        <w:rPr>
          <w:lang w:val="lt-LT"/>
        </w:rPr>
      </w:pPr>
      <w:r>
        <w:rPr>
          <w:lang w:val="lt-LT"/>
        </w:rPr>
        <w:drawing>
          <wp:anchor distT="0" distB="0" distL="0" distR="0" simplePos="0" relativeHeight="22" behindDoc="0" locked="0" layoutInCell="0" allowOverlap="1">
            <wp:simplePos x="0" y="0"/>
            <wp:positionH relativeFrom="column">
              <wp:posOffset>-931545</wp:posOffset>
            </wp:positionH>
            <wp:positionV relativeFrom="paragraph">
              <wp:posOffset>1379855</wp:posOffset>
            </wp:positionV>
            <wp:extent cx="7560310" cy="5337810"/>
            <wp:effectExtent l="0" t="0" r="0" b="0"/>
            <wp:wrapSquare wrapText="largest"/>
            <wp:docPr id="21"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3"/>
                    <pic:cNvPicPr>
                      <a:picLocks noChangeAspect="1" noChangeArrowheads="1"/>
                    </pic:cNvPicPr>
                  </pic:nvPicPr>
                  <pic:blipFill>
                    <a:blip r:embed="rId27"/>
                    <a:stretch>
                      <a:fillRect/>
                    </a:stretch>
                  </pic:blipFill>
                  <pic:spPr bwMode="auto">
                    <a:xfrm rot="16200000">
                      <a:off x="0" y="0"/>
                      <a:ext cx="7560310" cy="5337810"/>
                    </a:xfrm>
                    <a:prstGeom prst="rect">
                      <a:avLst/>
                    </a:prstGeom>
                    <a:noFill/>
                  </pic:spPr>
                </pic:pic>
              </a:graphicData>
            </a:graphic>
          </wp:anchor>
        </w:drawing>
      </w:r>
    </w:p>
    <w:sectPr>
      <w:footerReference w:type="even" r:id="rId28"/>
      <w:footerReference w:type="default" r:id="rId29"/>
      <w:footerReference w:type="first" r:id="rId30"/>
      <w:type w:val="nextPage"/>
      <w:pgSz w:w="11906" w:h="16838"/>
      <w:pgMar w:left="1134" w:right="1134" w:gutter="0" w:header="0" w:top="1134" w:footer="1134" w:bottom="1693"/>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2"/>
    <w:family w:val="roman"/>
    <w:pitch w:val="variable"/>
  </w:font>
  <w:font w:name="Liberation Sans">
    <w:altName w:val="Arial"/>
    <w:charset w:val="01" w:characterSet="utf-8"/>
    <w:family w:val="swiss"/>
    <w:pitch w:val="variable"/>
  </w:font>
  <w:font w:name="Arial">
    <w:charset w:val="01" w:characterSet="utf-8"/>
    <w:family w:val="swiss"/>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lang w:val="lt-LT"/>
      </w:rPr>
    </w:pPr>
    <w:bookmarkStart w:id="30" w:name="PageNumWizard_FOOTER_Default_Page_Style3"/>
    <w:r>
      <w:rPr>
        <w:lang w:val="lt-LT"/>
      </w:rPr>
      <w:fldChar w:fldCharType="begin"/>
    </w:r>
    <w:r>
      <w:rPr>
        <w:lang w:val="lt-LT"/>
      </w:rPr>
      <w:instrText xml:space="preserve"> PAGE </w:instrText>
    </w:r>
    <w:r>
      <w:rPr>
        <w:lang w:val="lt-LT"/>
      </w:rPr>
      <w:fldChar w:fldCharType="separate"/>
    </w:r>
    <w:r>
      <w:rPr>
        <w:lang w:val="lt-LT"/>
      </w:rPr>
      <w:t>20</w:t>
    </w:r>
    <w:r>
      <w:rPr>
        <w:lang w:val="lt-LT"/>
      </w:rPr>
      <w:fldChar w:fldCharType="end"/>
    </w:r>
    <w:bookmarkEnd w:id="30"/>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lang w:val="lt-LT"/>
      </w:rPr>
    </w:pPr>
    <w:bookmarkStart w:id="31" w:name="PageNumWizard_FOOTER_Default_Page_Style3"/>
    <w:r>
      <w:rPr>
        <w:lang w:val="lt-LT"/>
      </w:rPr>
      <w:fldChar w:fldCharType="begin"/>
    </w:r>
    <w:r>
      <w:rPr>
        <w:lang w:val="lt-LT"/>
      </w:rPr>
      <w:instrText xml:space="preserve"> PAGE </w:instrText>
    </w:r>
    <w:r>
      <w:rPr>
        <w:lang w:val="lt-LT"/>
      </w:rPr>
      <w:fldChar w:fldCharType="separate"/>
    </w:r>
    <w:r>
      <w:rPr>
        <w:lang w:val="lt-LT"/>
      </w:rPr>
      <w:t>20</w:t>
    </w:r>
    <w:r>
      <w:rPr>
        <w:lang w:val="lt-LT"/>
      </w:rPr>
      <w:fldChar w:fldCharType="end"/>
    </w:r>
    <w:bookmarkEnd w:id="31"/>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20"/>
        </w:tabs>
        <w:ind w:start="720" w:hanging="360"/>
      </w:pPr>
      <w:rPr/>
    </w:lvl>
    <w:lvl w:ilvl="1">
      <w:start w:val="1"/>
      <w:numFmt w:val="decimal"/>
      <w:pStyle w:val="Heading2"/>
      <w:lvlText w:val="%1.%2"/>
      <w:lvlJc w:val="start"/>
      <w:pPr>
        <w:tabs>
          <w:tab w:val="num" w:pos="1080"/>
        </w:tabs>
        <w:ind w:start="1080" w:hanging="360"/>
      </w:pPr>
      <w:rPr/>
    </w:lvl>
    <w:lvl w:ilvl="2">
      <w:start w:val="1"/>
      <w:numFmt w:val="decimal"/>
      <w:pStyle w:val="Heading3"/>
      <w:lvlText w:val="%1.%2.%3"/>
      <w:lvlJc w:val="start"/>
      <w:pPr>
        <w:tabs>
          <w:tab w:val="num" w:pos="1440"/>
        </w:tabs>
        <w:ind w:start="1440" w:hanging="360"/>
      </w:pPr>
      <w:rPr/>
    </w:lvl>
    <w:lvl w:ilvl="3">
      <w:start w:val="1"/>
      <w:numFmt w:val="decimal"/>
      <w:lvlText w:val="%1.%2.%3.%4"/>
      <w:lvlJc w:val="start"/>
      <w:pPr>
        <w:tabs>
          <w:tab w:val="num" w:pos="1800"/>
        </w:tabs>
        <w:ind w:start="1800" w:hanging="360"/>
      </w:pPr>
      <w:rPr/>
    </w:lvl>
    <w:lvl w:ilvl="4">
      <w:start w:val="1"/>
      <w:numFmt w:val="decimal"/>
      <w:pStyle w:val="Heading5"/>
      <w:lvlText w:val="%1.%2.%3.%4.%5"/>
      <w:lvlJc w:val="start"/>
      <w:pPr>
        <w:tabs>
          <w:tab w:val="num" w:pos="2160"/>
        </w:tabs>
        <w:ind w:start="2160" w:hanging="360"/>
      </w:pPr>
      <w:rPr/>
    </w:lvl>
    <w:lvl w:ilvl="5">
      <w:start w:val="1"/>
      <w:numFmt w:val="decimal"/>
      <w:lvlText w:val="%1.%2.%3.%4.%5.%6"/>
      <w:lvlJc w:val="start"/>
      <w:pPr>
        <w:tabs>
          <w:tab w:val="num" w:pos="2520"/>
        </w:tabs>
        <w:ind w:start="2520" w:hanging="360"/>
      </w:pPr>
      <w:rPr/>
    </w:lvl>
    <w:lvl w:ilvl="6">
      <w:start w:val="1"/>
      <w:numFmt w:val="decimal"/>
      <w:lvlText w:val="%1.%2.%3.%4.%5.%6.%7"/>
      <w:lvlJc w:val="start"/>
      <w:pPr>
        <w:tabs>
          <w:tab w:val="num" w:pos="2880"/>
        </w:tabs>
        <w:ind w:start="2880" w:hanging="360"/>
      </w:pPr>
      <w:rPr/>
    </w:lvl>
    <w:lvl w:ilvl="7">
      <w:start w:val="1"/>
      <w:numFmt w:val="decimal"/>
      <w:lvlText w:val="%1.%2.%3.%4.%5.%6.%7.%8"/>
      <w:lvlJc w:val="start"/>
      <w:pPr>
        <w:tabs>
          <w:tab w:val="num" w:pos="3240"/>
        </w:tabs>
        <w:ind w:start="3240" w:hanging="360"/>
      </w:pPr>
      <w:rPr/>
    </w:lvl>
    <w:lvl w:ilvl="8">
      <w:start w:val="1"/>
      <w:numFmt w:val="decimal"/>
      <w:lvlText w:val="%1.%2.%3.%4.%5.%6.%7.%8.%9"/>
      <w:lvlJc w:val="start"/>
      <w:pPr>
        <w:tabs>
          <w:tab w:val="num" w:pos="3600"/>
        </w:tabs>
        <w:ind w:start="3600" w:hanging="360"/>
      </w:pPr>
      <w:rPr/>
    </w:lvl>
  </w:abstractNum>
  <w:abstractNum w:abstractNumId="2">
    <w:lvl w:ilvl="0">
      <w:start w:val="1"/>
      <w:numFmt w:val="decimal"/>
      <w:lvlText w:val="%1."/>
      <w:lvlJc w:val="start"/>
      <w:pPr>
        <w:tabs>
          <w:tab w:val="num" w:pos="1080"/>
        </w:tabs>
        <w:ind w:start="1080" w:hanging="360"/>
      </w:pPr>
      <w:rPr/>
    </w:lvl>
    <w:lvl w:ilvl="1">
      <w:start w:val="1"/>
      <w:numFmt w:val="decimal"/>
      <w:lvlText w:val="%1.%2."/>
      <w:lvlJc w:val="start"/>
      <w:pPr>
        <w:tabs>
          <w:tab w:val="num" w:pos="1440"/>
        </w:tabs>
        <w:ind w:start="1440" w:hanging="360"/>
      </w:pPr>
      <w:rPr/>
    </w:lvl>
    <w:lvl w:ilvl="2">
      <w:start w:val="1"/>
      <w:numFmt w:val="decimal"/>
      <w:lvlText w:val="%1.%2.%3."/>
      <w:lvlJc w:val="start"/>
      <w:pPr>
        <w:tabs>
          <w:tab w:val="num" w:pos="1800"/>
        </w:tabs>
        <w:ind w:start="1800" w:hanging="360"/>
      </w:pPr>
      <w:rPr/>
    </w:lvl>
    <w:lvl w:ilvl="3">
      <w:start w:val="1"/>
      <w:numFmt w:val="decimal"/>
      <w:lvlText w:val="%1.%2.%3.%4."/>
      <w:lvlJc w:val="start"/>
      <w:pPr>
        <w:tabs>
          <w:tab w:val="num" w:pos="2160"/>
        </w:tabs>
        <w:ind w:start="2160" w:hanging="360"/>
      </w:pPr>
      <w:rPr/>
    </w:lvl>
    <w:lvl w:ilvl="4">
      <w:start w:val="1"/>
      <w:numFmt w:val="decimal"/>
      <w:lvlText w:val="%1.%2.%3.%4.%5."/>
      <w:lvlJc w:val="start"/>
      <w:pPr>
        <w:tabs>
          <w:tab w:val="num" w:pos="2520"/>
        </w:tabs>
        <w:ind w:start="2520" w:hanging="360"/>
      </w:pPr>
      <w:rPr/>
    </w:lvl>
    <w:lvl w:ilvl="5">
      <w:start w:val="1"/>
      <w:numFmt w:val="decimal"/>
      <w:lvlText w:val="%1.%2.%3.%4.%5.%6."/>
      <w:lvlJc w:val="start"/>
      <w:pPr>
        <w:tabs>
          <w:tab w:val="num" w:pos="2880"/>
        </w:tabs>
        <w:ind w:start="2880" w:hanging="360"/>
      </w:pPr>
      <w:rPr/>
    </w:lvl>
    <w:lvl w:ilvl="6">
      <w:start w:val="1"/>
      <w:numFmt w:val="decimal"/>
      <w:lvlText w:val="%1.%2.%3.%4.%5.%6.%7."/>
      <w:lvlJc w:val="start"/>
      <w:pPr>
        <w:tabs>
          <w:tab w:val="num" w:pos="3240"/>
        </w:tabs>
        <w:ind w:start="3240" w:hanging="360"/>
      </w:pPr>
      <w:rPr/>
    </w:lvl>
    <w:lvl w:ilvl="7">
      <w:start w:val="1"/>
      <w:numFmt w:val="decimal"/>
      <w:lvlText w:val="%1.%2.%3.%4.%5.%6.%7.%8."/>
      <w:lvlJc w:val="start"/>
      <w:pPr>
        <w:tabs>
          <w:tab w:val="num" w:pos="3600"/>
        </w:tabs>
        <w:ind w:start="3600" w:hanging="360"/>
      </w:pPr>
      <w:rPr/>
    </w:lvl>
    <w:lvl w:ilvl="8">
      <w:start w:val="1"/>
      <w:numFmt w:val="decimal"/>
      <w:lvlText w:val="%1.%2.%3.%4.%5.%6.%7.%8.%9."/>
      <w:lvlJc w:val="start"/>
      <w:pPr>
        <w:tabs>
          <w:tab w:val="num" w:pos="3960"/>
        </w:tabs>
        <w:ind w:start="3960" w:hanging="360"/>
      </w:pPr>
      <w:rPr/>
    </w:lvl>
  </w:abstractNum>
  <w:abstractNum w:abstractNumId="3">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4">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lt-LT"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en-US" w:eastAsia="zh-CN" w:bidi="hi-IN"/>
    </w:rPr>
  </w:style>
  <w:style w:type="paragraph" w:styleId="Heading1">
    <w:name w:val="heading 1"/>
    <w:basedOn w:val="Heading"/>
    <w:next w:val="BodyText"/>
    <w:qFormat/>
    <w:pPr>
      <w:numPr>
        <w:ilvl w:val="0"/>
        <w:numId w:val="2"/>
      </w:numPr>
      <w:spacing w:before="240" w:after="120"/>
      <w:outlineLvl w:val="0"/>
    </w:pPr>
    <w:rPr>
      <w:b/>
      <w:bCs/>
      <w:sz w:val="32"/>
      <w:szCs w:val="36"/>
    </w:rPr>
  </w:style>
  <w:style w:type="paragraph" w:styleId="Heading2">
    <w:name w:val="heading 2"/>
    <w:basedOn w:val="Heading"/>
    <w:next w:val="BodyText"/>
    <w:qFormat/>
    <w:pPr>
      <w:numPr>
        <w:ilvl w:val="1"/>
        <w:numId w:val="1"/>
      </w:numPr>
      <w:spacing w:before="200" w:after="120"/>
      <w:outlineLvl w:val="1"/>
    </w:pPr>
    <w:rPr>
      <w:b/>
      <w:bCs/>
      <w:sz w:val="32"/>
      <w:szCs w:val="32"/>
    </w:rPr>
  </w:style>
  <w:style w:type="paragraph" w:styleId="Heading3">
    <w:name w:val="heading 3"/>
    <w:basedOn w:val="Heading"/>
    <w:next w:val="BodyText"/>
    <w:qFormat/>
    <w:pPr>
      <w:numPr>
        <w:ilvl w:val="2"/>
        <w:numId w:val="1"/>
      </w:numPr>
      <w:spacing w:before="140" w:after="120"/>
      <w:outlineLvl w:val="2"/>
    </w:pPr>
    <w:rPr>
      <w:b/>
      <w:bCs/>
      <w:sz w:val="28"/>
      <w:szCs w:val="28"/>
    </w:rPr>
  </w:style>
  <w:style w:type="paragraph" w:styleId="Heading4">
    <w:name w:val="heading 4"/>
    <w:basedOn w:val="Heading"/>
    <w:next w:val="BodyText"/>
    <w:qFormat/>
    <w:pPr>
      <w:numPr>
        <w:ilvl w:val="3"/>
        <w:numId w:val="2"/>
      </w:numPr>
      <w:spacing w:before="120" w:after="120"/>
      <w:outlineLvl w:val="3"/>
    </w:pPr>
    <w:rPr>
      <w:b/>
      <w:bCs/>
      <w:i/>
      <w:iCs/>
      <w:sz w:val="26"/>
      <w:szCs w:val="26"/>
    </w:rPr>
  </w:style>
  <w:style w:type="paragraph" w:styleId="Heading5">
    <w:name w:val="heading 5"/>
    <w:basedOn w:val="Heading"/>
    <w:next w:val="BodyText"/>
    <w:qFormat/>
    <w:pPr>
      <w:numPr>
        <w:ilvl w:val="4"/>
        <w:numId w:val="1"/>
      </w:numPr>
      <w:spacing w:before="120" w:after="60"/>
      <w:outlineLvl w:val="4"/>
    </w:pPr>
    <w:rPr>
      <w:b/>
      <w:bCs/>
      <w:sz w:val="24"/>
      <w:szCs w:val="24"/>
    </w:rPr>
  </w:style>
  <w:style w:type="character" w:styleId="Bullets">
    <w:name w:val="Bullets"/>
    <w:qFormat/>
    <w:rPr>
      <w:rFonts w:ascii="OpenSymbol" w:hAnsi="OpenSymbol" w:eastAsia="OpenSymbol" w:cs="OpenSymbol"/>
    </w:rPr>
  </w:style>
  <w:style w:type="character" w:styleId="Hyperlink">
    <w:name w:val="Hyperlink"/>
    <w:rPr>
      <w:color w:val="000080"/>
      <w:u w:val="single"/>
    </w:rPr>
  </w:style>
  <w:style w:type="character" w:styleId="FollowedHyperlink">
    <w:name w:val="FollowedHyperlink"/>
    <w:rPr>
      <w:color w:val="800000"/>
      <w:u w:val="single"/>
    </w:rPr>
  </w:style>
  <w:style w:type="character" w:styleId="NumberingSymbols">
    <w:name w:val="Numbering Symbols"/>
    <w:qFormat/>
    <w:rPr/>
  </w:style>
  <w:style w:type="character" w:styleId="IndexLink">
    <w:name w:val="Index Link"/>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ind w:firstLine="709"/>
      <w:jc w:val="both"/>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ableContents">
    <w:name w:val="Table Contents"/>
    <w:basedOn w:val="Normal"/>
    <w:qFormat/>
    <w:pPr>
      <w:widowControl w:val="false"/>
      <w:suppressLineNumbers/>
    </w:pPr>
    <w:rPr/>
  </w:style>
  <w:style w:type="paragraph" w:styleId="ListParagraph">
    <w:name w:val="List Paragraph"/>
    <w:basedOn w:val="Normal"/>
    <w:qFormat/>
    <w:pPr>
      <w:ind w:hanging="543" w:start="943"/>
    </w:pPr>
    <w:rPr/>
  </w:style>
  <w:style w:type="paragraph" w:styleId="normal1">
    <w:name w:val="normal1"/>
    <w:qFormat/>
    <w:pPr>
      <w:widowControl/>
      <w:suppressAutoHyphens w:val="true"/>
      <w:bidi w:val="0"/>
      <w:spacing w:before="0" w:after="0"/>
      <w:jc w:val="start"/>
    </w:pPr>
    <w:rPr>
      <w:rFonts w:ascii="Arial" w:hAnsi="Arial" w:eastAsia="Arial" w:cs="DejaVu Sans" w:asciiTheme="minorHAnsi" w:cstheme="minorBidi" w:eastAsiaTheme="minorHAnsi" w:hAnsiTheme="minorHAnsi"/>
      <w:color w:val="auto"/>
      <w:kern w:val="0"/>
      <w:sz w:val="22"/>
      <w:szCs w:val="22"/>
      <w:lang w:val="en-US" w:eastAsia="en-US" w:bidi="ar-SA"/>
    </w:rPr>
  </w:style>
  <w:style w:type="paragraph" w:styleId="IndexHeading">
    <w:name w:val="index heading"/>
    <w:basedOn w:val="Heading"/>
    <w:pPr>
      <w:suppressLineNumbers/>
      <w:ind w:hanging="0" w:start="0"/>
    </w:pPr>
    <w:rPr>
      <w:b/>
      <w:bCs/>
      <w:sz w:val="32"/>
      <w:szCs w:val="32"/>
    </w:rPr>
  </w:style>
  <w:style w:type="paragraph" w:styleId="TOCHeading">
    <w:name w:val="TOC Heading"/>
    <w:basedOn w:val="IndexHeading"/>
    <w:qFormat/>
    <w:pPr>
      <w:suppressLineNumbers/>
      <w:ind w:hanging="0" w:start="0"/>
    </w:pPr>
    <w:rPr>
      <w:b/>
      <w:bCs/>
      <w:sz w:val="32"/>
      <w:szCs w:val="32"/>
    </w:rPr>
  </w:style>
  <w:style w:type="paragraph" w:styleId="TOC1">
    <w:name w:val="toc 1"/>
    <w:basedOn w:val="Index"/>
    <w:pPr>
      <w:tabs>
        <w:tab w:val="clear" w:pos="709"/>
        <w:tab w:val="right" w:pos="9638" w:leader="dot"/>
      </w:tabs>
      <w:ind w:hanging="0" w:start="0"/>
    </w:pPr>
    <w:rPr/>
  </w:style>
  <w:style w:type="paragraph" w:styleId="TOC2">
    <w:name w:val="toc 2"/>
    <w:basedOn w:val="Index"/>
    <w:pPr>
      <w:tabs>
        <w:tab w:val="clear" w:pos="709"/>
        <w:tab w:val="right" w:pos="9355" w:leader="dot"/>
      </w:tabs>
      <w:ind w:hanging="0" w:start="283"/>
    </w:pPr>
    <w:rPr/>
  </w:style>
  <w:style w:type="paragraph" w:styleId="TOC3">
    <w:name w:val="toc 3"/>
    <w:basedOn w:val="Index"/>
    <w:pPr>
      <w:tabs>
        <w:tab w:val="clear" w:pos="709"/>
        <w:tab w:val="right" w:pos="9071" w:leader="dot"/>
      </w:tabs>
      <w:ind w:hanging="0" w:start="567"/>
    </w:pPr>
    <w:rPr/>
  </w:style>
  <w:style w:type="paragraph" w:styleId="Title">
    <w:name w:val="Title"/>
    <w:basedOn w:val="Heading"/>
    <w:next w:val="BodyText"/>
    <w:qFormat/>
    <w:pPr>
      <w:jc w:val="center"/>
    </w:pPr>
    <w:rPr>
      <w:b/>
      <w:bCs/>
      <w:sz w:val="56"/>
      <w:szCs w:val="56"/>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Footer">
    <w:name w:val="footer"/>
    <w:basedOn w:val="HeaderandFooter"/>
    <w:pPr>
      <w:suppressLineNumbers/>
    </w:pPr>
    <w:rPr/>
  </w:style>
  <w:style w:type="paragraph" w:styleId="Header">
    <w:name w:val="header"/>
    <w:basedOn w:val="HeaderandFooter"/>
    <w:pPr>
      <w:suppressLineNumbers/>
    </w:pPr>
    <w:rPr/>
  </w:style>
  <w:style w:type="paragraph" w:styleId="TOC4">
    <w:name w:val="toc 4"/>
    <w:basedOn w:val="Index"/>
    <w:pPr/>
    <w:rPr/>
  </w:style>
  <w:style w:type="paragraph" w:styleId="TOC5">
    <w:name w:val="toc 5"/>
    <w:basedOn w:val="Index"/>
    <w:pPr/>
    <w:rPr/>
  </w:style>
  <w:style w:type="paragraph" w:styleId="TOC6">
    <w:name w:val="toc 6"/>
    <w:basedOn w:val="Index"/>
    <w:pPr/>
    <w:rPr/>
  </w:style>
  <w:style w:type="paragraph" w:styleId="TOC7">
    <w:name w:val="toc 7"/>
    <w:basedOn w:val="Index"/>
    <w:pPr/>
    <w:rPr/>
  </w:style>
  <w:style w:type="paragraph" w:styleId="TOC8">
    <w:name w:val="toc 8"/>
    <w:basedOn w:val="Index"/>
    <w:pPr/>
    <w:rPr/>
  </w:style>
  <w:style w:type="paragraph" w:styleId="TOC9">
    <w:name w:val="toc 9"/>
    <w:basedOn w:val="Index"/>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jpeg"/><Relationship Id="rId13" Type="http://schemas.openxmlformats.org/officeDocument/2006/relationships/hyperlink" Target="https://www.autoaib&#279;.lt" TargetMode="External"/><Relationship Id="rId14" Type="http://schemas.openxmlformats.org/officeDocument/2006/relationships/hyperlink" Target="https://en.wikipedia.org/wiki/List_of_Volkswagen_Group_engines" TargetMode="External"/><Relationship Id="rId15" Type="http://schemas.openxmlformats.org/officeDocument/2006/relationships/hyperlink" Target="https://www.ultimatespecs.com/" TargetMode="External"/><Relationship Id="rId16" Type="http://schemas.openxmlformats.org/officeDocument/2006/relationships/hyperlink" Target="https://www.heritagepartscentre.com/" TargetMode="External"/><Relationship Id="rId17" Type="http://schemas.openxmlformats.org/officeDocument/2006/relationships/hyperlink" Target="https://www.partsplaceinc.com/" TargetMode="External"/><Relationship Id="rId18" Type="http://schemas.openxmlformats.org/officeDocument/2006/relationships/image" Target="media/image12.jpeg"/><Relationship Id="rId19" Type="http://schemas.openxmlformats.org/officeDocument/2006/relationships/image" Target="media/image13.jpeg"/><Relationship Id="rId20" Type="http://schemas.openxmlformats.org/officeDocument/2006/relationships/image" Target="media/image14.jpeg"/><Relationship Id="rId21" Type="http://schemas.openxmlformats.org/officeDocument/2006/relationships/image" Target="media/image15.jpeg"/><Relationship Id="rId22" Type="http://schemas.openxmlformats.org/officeDocument/2006/relationships/image" Target="media/image16.jpeg"/><Relationship Id="rId23" Type="http://schemas.openxmlformats.org/officeDocument/2006/relationships/image" Target="media/image17.jpeg"/><Relationship Id="rId24" Type="http://schemas.openxmlformats.org/officeDocument/2006/relationships/image" Target="media/image18.jpe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footer" Target="footer1.xml"/><Relationship Id="rId29" Type="http://schemas.openxmlformats.org/officeDocument/2006/relationships/footer" Target="footer2.xml"/><Relationship Id="rId30" Type="http://schemas.openxmlformats.org/officeDocument/2006/relationships/footer" Target="footer3.xml"/><Relationship Id="rId31" Type="http://schemas.openxmlformats.org/officeDocument/2006/relationships/numbering" Target="numbering.xml"/><Relationship Id="rId32" Type="http://schemas.openxmlformats.org/officeDocument/2006/relationships/fontTable" Target="fontTable.xml"/><Relationship Id="rId33" Type="http://schemas.openxmlformats.org/officeDocument/2006/relationships/settings" Target="settings.xml"/><Relationship Id="rId3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224</TotalTime>
  <Application>LibreOffice/26.2.5.2$Linux_X86_64 LibreOffice_project/cd7284b4cbbfeb507e630c1aac019f4157393acb</Application>
  <AppVersion>15.0000</AppVersion>
  <Pages>22</Pages>
  <Words>1333</Words>
  <Characters>8887</Characters>
  <CharactersWithSpaces>10046</CharactersWithSpaces>
  <Paragraphs>150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2025-09-16T17:25:28Z</dcterms:created>
  <dc:creator/>
  <dc:description/>
  <dc:language>en-US</dc:language>
  <cp:lastModifiedBy/>
  <cp:lastPrinted>2025-09-16T23:06:27Z</cp:lastPrinted>
  <dcterms:modified xsi:type="dcterms:W3CDTF">2026-08-24T19:04:21Z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file>